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spacing w:after="0" w:line="240" w:lineRule="auto"/>
        <w:jc w:val="left"/>
        <w:rPr>
          <w:rFonts w:ascii="Arial" w:hAnsi="Arial" w:eastAsia="Times New Roman"/>
          <w:b/>
          <w:bCs/>
          <w:i/>
          <w:sz w:val="24"/>
          <w:szCs w:val="24"/>
          <w:lang w:val="en-GB" w:eastAsia="en-US"/>
        </w:rPr>
      </w:pPr>
      <w:r>
        <w:rPr>
          <w:rFonts w:ascii="Arial" w:hAnsi="Arial" w:eastAsia="Times New Roman" w:cs="Arial"/>
          <w:b/>
          <w:bCs/>
          <w:sz w:val="24"/>
          <w:szCs w:val="24"/>
          <w:lang w:val="en-GB" w:eastAsia="en-US"/>
        </w:rPr>
        <w:t xml:space="preserve">3GPP TSG-RAN </w:t>
      </w:r>
      <w:r>
        <w:rPr>
          <w:rFonts w:ascii="Arial" w:hAnsi="Arial" w:eastAsia="Times New Roman" w:cs="Arial"/>
          <w:b/>
          <w:sz w:val="24"/>
          <w:szCs w:val="24"/>
          <w:lang w:val="en-GB" w:eastAsia="en-US"/>
        </w:rPr>
        <w:t>WG2 Meeting #125bis</w:t>
      </w:r>
      <w:r>
        <w:rPr>
          <w:rFonts w:ascii="Arial" w:hAnsi="Arial" w:eastAsia="Times New Roman"/>
          <w:b/>
          <w:bCs/>
          <w:sz w:val="24"/>
          <w:szCs w:val="24"/>
          <w:lang w:val="en-GB" w:eastAsia="en-US"/>
        </w:rPr>
        <w:tab/>
      </w:r>
      <w:r>
        <w:rPr>
          <w:rFonts w:hint="eastAsia" w:ascii="Arial" w:hAnsi="Arial" w:eastAsia="Times New Roman"/>
          <w:b/>
          <w:bCs/>
          <w:sz w:val="24"/>
          <w:szCs w:val="24"/>
          <w:lang w:val="en-GB" w:eastAsia="en-US"/>
        </w:rPr>
        <w:t>R2-2402159</w:t>
      </w:r>
    </w:p>
    <w:p>
      <w:pPr>
        <w:tabs>
          <w:tab w:val="left" w:pos="1985"/>
          <w:tab w:val="right" w:pos="9639"/>
        </w:tabs>
        <w:spacing w:after="0" w:line="240" w:lineRule="auto"/>
        <w:rPr>
          <w:rFonts w:ascii="Arial" w:hAnsi="Arial" w:eastAsia="Times New Roman" w:cs="Arial"/>
          <w:b/>
          <w:sz w:val="24"/>
          <w:szCs w:val="24"/>
          <w:lang w:val="en-GB" w:eastAsia="en-US"/>
        </w:rPr>
      </w:pPr>
      <w:r>
        <w:rPr>
          <w:rFonts w:ascii="Arial" w:hAnsi="Arial" w:eastAsia="Times New Roman" w:cs="Arial"/>
          <w:b/>
          <w:sz w:val="24"/>
          <w:szCs w:val="24"/>
          <w:lang w:val="en-GB" w:eastAsia="en-US"/>
        </w:rPr>
        <w:t>Changsha, China, April 15</w:t>
      </w:r>
      <w:r>
        <w:rPr>
          <w:rFonts w:ascii="Arial" w:hAnsi="Arial" w:eastAsia="Times New Roman" w:cs="Arial"/>
          <w:b/>
          <w:sz w:val="24"/>
          <w:szCs w:val="24"/>
          <w:vertAlign w:val="superscript"/>
          <w:lang w:val="en-GB" w:eastAsia="en-US"/>
        </w:rPr>
        <w:t>th</w:t>
      </w:r>
      <w:r>
        <w:rPr>
          <w:rFonts w:ascii="Arial" w:hAnsi="Arial" w:eastAsia="Times New Roman" w:cs="Arial"/>
          <w:b/>
          <w:sz w:val="24"/>
          <w:szCs w:val="24"/>
          <w:lang w:val="en-GB" w:eastAsia="en-US"/>
        </w:rPr>
        <w:t xml:space="preserve"> – 19</w:t>
      </w:r>
      <w:r>
        <w:rPr>
          <w:rFonts w:ascii="Arial" w:hAnsi="Arial" w:eastAsia="Times New Roman" w:cs="Arial"/>
          <w:b/>
          <w:sz w:val="24"/>
          <w:szCs w:val="24"/>
          <w:vertAlign w:val="superscript"/>
          <w:lang w:val="en-GB" w:eastAsia="en-US"/>
        </w:rPr>
        <w:t>th</w:t>
      </w:r>
      <w:r>
        <w:rPr>
          <w:rFonts w:ascii="Arial" w:hAnsi="Arial" w:eastAsia="Times New Roman" w:cs="Arial"/>
          <w:b/>
          <w:sz w:val="24"/>
          <w:szCs w:val="24"/>
          <w:lang w:val="en-GB" w:eastAsia="en-US"/>
        </w:rPr>
        <w:t>, 2024</w:t>
      </w:r>
    </w:p>
    <w:p>
      <w:pPr>
        <w:widowControl w:val="0"/>
        <w:spacing w:after="0"/>
        <w:jc w:val="left"/>
        <w:rPr>
          <w:rFonts w:ascii="Arial" w:hAnsi="Arial" w:eastAsia="Times New Roman"/>
          <w:b/>
          <w:bCs/>
          <w:sz w:val="24"/>
        </w:rPr>
      </w:pPr>
    </w:p>
    <w:p>
      <w:pPr>
        <w:tabs>
          <w:tab w:val="left" w:pos="1985"/>
        </w:tabs>
        <w:overflowPunct/>
        <w:autoSpaceDE/>
        <w:autoSpaceDN/>
        <w:adjustRightInd/>
        <w:spacing w:after="120" w:line="240" w:lineRule="auto"/>
        <w:jc w:val="left"/>
        <w:textAlignment w:val="auto"/>
        <w:rPr>
          <w:rFonts w:ascii="Arial" w:hAnsi="Arial" w:eastAsia="MS Mincho" w:cs="Arial"/>
          <w:b/>
          <w:bCs/>
          <w:sz w:val="24"/>
          <w:lang w:val="en-GB"/>
        </w:rPr>
      </w:pPr>
      <w:r>
        <w:rPr>
          <w:rFonts w:ascii="Arial" w:hAnsi="Arial" w:eastAsia="MS Mincho" w:cs="Arial"/>
          <w:b/>
          <w:bCs/>
          <w:sz w:val="24"/>
          <w:lang w:val="en-GB" w:eastAsia="en-US"/>
        </w:rPr>
        <w:t>Agenda item:</w:t>
      </w:r>
      <w:r>
        <w:rPr>
          <w:rFonts w:ascii="Arial" w:hAnsi="Arial" w:eastAsia="MS Mincho" w:cs="Arial"/>
          <w:b/>
          <w:bCs/>
          <w:sz w:val="24"/>
          <w:lang w:val="en-GB" w:eastAsia="en-US"/>
        </w:rPr>
        <w:tab/>
      </w:r>
      <w:r>
        <w:rPr>
          <w:rFonts w:ascii="Arial" w:hAnsi="Arial" w:eastAsia="MS Mincho" w:cs="Arial"/>
          <w:b/>
          <w:bCs/>
          <w:sz w:val="24"/>
          <w:lang w:val="en-GB" w:eastAsia="en-US"/>
        </w:rPr>
        <w:t>8.4.2</w:t>
      </w:r>
    </w:p>
    <w:p>
      <w:pPr>
        <w:tabs>
          <w:tab w:val="left" w:pos="1985"/>
        </w:tabs>
        <w:overflowPunct/>
        <w:autoSpaceDE/>
        <w:autoSpaceDN/>
        <w:adjustRightInd/>
        <w:spacing w:line="240" w:lineRule="auto"/>
        <w:ind w:left="1985" w:hanging="1985"/>
        <w:jc w:val="left"/>
        <w:textAlignment w:val="auto"/>
        <w:rPr>
          <w:rFonts w:ascii="Arial" w:hAnsi="Arial" w:eastAsia="Times New Roman" w:cs="Arial"/>
          <w:b/>
          <w:bCs/>
          <w:sz w:val="24"/>
          <w:lang w:val="en-GB" w:eastAsia="en-US"/>
        </w:rPr>
      </w:pPr>
      <w:r>
        <w:rPr>
          <w:rFonts w:ascii="Arial" w:hAnsi="Arial" w:eastAsia="Times New Roman" w:cs="Arial"/>
          <w:b/>
          <w:bCs/>
          <w:sz w:val="24"/>
          <w:lang w:val="en-GB" w:eastAsia="en-US"/>
        </w:rPr>
        <w:t>Source:</w:t>
      </w:r>
      <w:r>
        <w:rPr>
          <w:rFonts w:ascii="Arial" w:hAnsi="Arial" w:eastAsia="Times New Roman" w:cs="Arial"/>
          <w:b/>
          <w:bCs/>
          <w:sz w:val="24"/>
          <w:lang w:val="en-GB" w:eastAsia="en-US"/>
        </w:rPr>
        <w:tab/>
      </w:r>
      <w:r>
        <w:rPr>
          <w:rFonts w:hint="eastAsia" w:ascii="Arial" w:hAnsi="Arial" w:eastAsia="Times New Roman" w:cs="Arial"/>
          <w:b/>
          <w:bCs/>
          <w:sz w:val="24"/>
          <w:lang w:val="en-GB" w:eastAsia="en-US"/>
        </w:rPr>
        <w:t>China Telecom</w:t>
      </w:r>
    </w:p>
    <w:p>
      <w:pPr>
        <w:tabs>
          <w:tab w:val="left" w:pos="1985"/>
        </w:tabs>
        <w:overflowPunct/>
        <w:autoSpaceDE/>
        <w:autoSpaceDN/>
        <w:adjustRightInd/>
        <w:spacing w:line="240" w:lineRule="auto"/>
        <w:ind w:left="1985" w:hanging="1985"/>
        <w:jc w:val="left"/>
        <w:textAlignment w:val="auto"/>
        <w:rPr>
          <w:rFonts w:ascii="Arial" w:hAnsi="Arial" w:eastAsia="Times New Roman" w:cs="Arial"/>
          <w:b/>
          <w:bCs/>
          <w:sz w:val="24"/>
          <w:lang w:val="en-GB" w:eastAsia="en-US"/>
        </w:rPr>
      </w:pPr>
      <w:r>
        <w:rPr>
          <w:rFonts w:ascii="Arial" w:hAnsi="Arial" w:eastAsia="Times New Roman" w:cs="Arial"/>
          <w:b/>
          <w:bCs/>
          <w:sz w:val="24"/>
          <w:lang w:val="en-GB" w:eastAsia="en-US"/>
        </w:rPr>
        <w:t>Title:</w:t>
      </w:r>
      <w:r>
        <w:rPr>
          <w:rFonts w:ascii="Arial" w:hAnsi="Arial" w:eastAsia="Times New Roman" w:cs="Arial"/>
          <w:b/>
          <w:bCs/>
          <w:sz w:val="24"/>
          <w:lang w:val="en-GB" w:eastAsia="en-US"/>
        </w:rPr>
        <w:tab/>
      </w:r>
      <w:r>
        <w:rPr>
          <w:rFonts w:hint="eastAsia" w:ascii="Arial" w:hAnsi="Arial" w:cs="Arial"/>
          <w:b/>
          <w:bCs/>
          <w:sz w:val="24"/>
          <w:lang w:val="en-US" w:eastAsia="zh-CN"/>
        </w:rPr>
        <w:t>Views</w:t>
      </w:r>
      <w:r>
        <w:rPr>
          <w:rFonts w:ascii="Arial" w:hAnsi="Arial" w:eastAsia="Times New Roman" w:cs="Arial"/>
          <w:b/>
          <w:bCs/>
          <w:sz w:val="24"/>
          <w:lang w:val="en-GB" w:eastAsia="en-US"/>
        </w:rPr>
        <w:t xml:space="preserve"> on procedure and configuration of LP-WUS in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 xml:space="preserve"> </w:t>
      </w:r>
      <w:r>
        <w:rPr>
          <w:rFonts w:ascii="Arial" w:hAnsi="Arial" w:eastAsia="Times New Roman" w:cs="Arial"/>
          <w:b/>
          <w:bCs/>
          <w:sz w:val="24"/>
          <w:lang w:val="en-GB" w:eastAsia="en-US"/>
        </w:rPr>
        <w:t>RRC_IDLE/INACTIVE</w:t>
      </w:r>
    </w:p>
    <w:p>
      <w:pPr>
        <w:tabs>
          <w:tab w:val="left" w:pos="1985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ascii="Arial" w:hAnsi="Arial" w:eastAsia="Times New Roman" w:cs="Arial"/>
          <w:b/>
          <w:bCs/>
          <w:sz w:val="24"/>
          <w:lang w:val="en-GB" w:eastAsia="en-US"/>
        </w:rPr>
      </w:pPr>
      <w:bookmarkStart w:id="0" w:name="_Hlk506366071"/>
      <w:r>
        <w:rPr>
          <w:rFonts w:ascii="Arial" w:hAnsi="Arial" w:eastAsia="Times New Roman" w:cs="Arial"/>
          <w:b/>
          <w:bCs/>
          <w:sz w:val="24"/>
          <w:lang w:val="en-GB" w:eastAsia="en-US"/>
        </w:rPr>
        <w:t>Document for:</w:t>
      </w:r>
      <w:r>
        <w:rPr>
          <w:rFonts w:ascii="Arial" w:hAnsi="Arial" w:eastAsia="Times New Roman" w:cs="Arial"/>
          <w:b/>
          <w:bCs/>
          <w:sz w:val="24"/>
          <w:lang w:val="en-GB" w:eastAsia="en-US"/>
        </w:rPr>
        <w:tab/>
      </w:r>
      <w:r>
        <w:rPr>
          <w:rFonts w:ascii="Arial" w:hAnsi="Arial" w:eastAsia="Times New Roman" w:cs="Arial"/>
          <w:b/>
          <w:bCs/>
          <w:sz w:val="24"/>
          <w:lang w:val="en-GB" w:eastAsia="en-US"/>
        </w:rPr>
        <w:t>Discussion and Decision</w:t>
      </w:r>
      <w:bookmarkEnd w:id="0"/>
    </w:p>
    <w:p>
      <w:pPr>
        <w:pStyle w:val="2"/>
        <w:keepLines/>
        <w:numPr>
          <w:ilvl w:val="0"/>
          <w:numId w:val="4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>
        <w:t>Introduction</w:t>
      </w:r>
    </w:p>
    <w:p>
      <w:pPr>
        <w:spacing w:line="240" w:lineRule="auto"/>
        <w:rPr>
          <w:rFonts w:eastAsiaTheme="minorEastAsia"/>
          <w:bCs/>
          <w:szCs w:val="22"/>
        </w:rPr>
      </w:pPr>
      <w:r>
        <w:rPr>
          <w:rFonts w:hint="eastAsia"/>
          <w:szCs w:val="21"/>
          <w:lang w:val="en-US" w:eastAsia="zh-CN"/>
        </w:rPr>
        <w:t xml:space="preserve">In Rel-19, a new WID for </w:t>
      </w:r>
      <w:r>
        <w:rPr>
          <w:szCs w:val="21"/>
          <w:lang w:val="en-GB"/>
        </w:rPr>
        <w:t>LP-WUS/WUR</w:t>
      </w:r>
      <w:r>
        <w:rPr>
          <w:rFonts w:hint="eastAsia"/>
          <w:szCs w:val="21"/>
          <w:lang w:val="en-US" w:eastAsia="zh-CN"/>
        </w:rPr>
        <w:t xml:space="preserve"> was approved in RAN#102</w:t>
      </w:r>
      <w:r>
        <w:rPr>
          <w:rFonts w:eastAsiaTheme="minorEastAsia"/>
          <w:bCs/>
          <w:szCs w:val="22"/>
        </w:rPr>
        <w:t>[1]</w:t>
      </w:r>
      <w:r>
        <w:rPr>
          <w:rFonts w:hint="eastAsia" w:eastAsiaTheme="minorEastAsia"/>
          <w:bCs/>
          <w:szCs w:val="22"/>
          <w:lang w:val="en-US" w:eastAsia="zh-CN"/>
        </w:rPr>
        <w:t>. The o</w:t>
      </w:r>
      <w:r>
        <w:rPr>
          <w:rFonts w:eastAsiaTheme="minorEastAsia"/>
          <w:bCs/>
          <w:szCs w:val="22"/>
        </w:rPr>
        <w:t xml:space="preserve">bjectives </w:t>
      </w:r>
      <w:r>
        <w:rPr>
          <w:rFonts w:hint="eastAsia" w:eastAsiaTheme="minorEastAsia"/>
          <w:bCs/>
          <w:szCs w:val="22"/>
          <w:lang w:val="en-US" w:eastAsia="zh-CN"/>
        </w:rPr>
        <w:t xml:space="preserve">for IDLE/INACTIVE modes </w:t>
      </w:r>
      <w:r>
        <w:rPr>
          <w:rFonts w:eastAsiaTheme="minorEastAsia"/>
          <w:bCs/>
          <w:szCs w:val="22"/>
        </w:rPr>
        <w:t xml:space="preserve">are </w:t>
      </w:r>
      <w:r>
        <w:rPr>
          <w:rFonts w:hint="eastAsia" w:eastAsiaTheme="minorEastAsia"/>
          <w:bCs/>
          <w:szCs w:val="22"/>
          <w:lang w:val="en-US" w:eastAsia="zh-CN"/>
        </w:rPr>
        <w:t>listed as follows</w:t>
      </w:r>
      <w:r>
        <w:rPr>
          <w:rFonts w:eastAsiaTheme="minorEastAsia"/>
          <w:bCs/>
          <w:szCs w:val="22"/>
        </w:rPr>
        <w:t>.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8" w:type="dxa"/>
          </w:tcPr>
          <w:p>
            <w:pPr>
              <w:widowControl w:val="0"/>
              <w:numPr>
                <w:ilvl w:val="0"/>
                <w:numId w:val="5"/>
              </w:numPr>
              <w:spacing w:before="156" w:beforeLines="50" w:after="0" w:line="240" w:lineRule="auto"/>
              <w:ind w:hanging="357"/>
              <w:jc w:val="left"/>
              <w:rPr>
                <w:bCs/>
                <w:sz w:val="20"/>
                <w:lang w:eastAsia="en-GB"/>
              </w:rPr>
            </w:pPr>
            <w:r>
              <w:rPr>
                <w:bCs/>
                <w:sz w:val="20"/>
                <w:highlight w:val="yellow"/>
                <w:lang w:bidi="ar"/>
              </w:rPr>
              <w:t>For IDLE/INACTIVE modes</w:t>
            </w:r>
          </w:p>
          <w:p>
            <w:pPr>
              <w:widowControl w:val="0"/>
              <w:numPr>
                <w:ilvl w:val="1"/>
                <w:numId w:val="5"/>
              </w:numPr>
              <w:spacing w:before="156" w:beforeLines="50" w:after="0" w:line="240" w:lineRule="auto"/>
              <w:ind w:hanging="357"/>
              <w:jc w:val="left"/>
              <w:rPr>
                <w:bCs/>
                <w:sz w:val="20"/>
                <w:lang w:bidi="ar"/>
              </w:rPr>
            </w:pPr>
            <w:r>
              <w:rPr>
                <w:bCs/>
                <w:sz w:val="20"/>
                <w:highlight w:val="yellow"/>
                <w:lang w:bidi="ar"/>
              </w:rPr>
              <w:t>Specify procedure and configuration of LP-WUS indicating paging monitoring triggered by LP-WUS, including at least configuration, sub-grouping and entry/exit condition for LP-WUS monitoring</w:t>
            </w:r>
            <w:r>
              <w:rPr>
                <w:bCs/>
                <w:sz w:val="20"/>
                <w:lang w:bidi="ar"/>
              </w:rPr>
              <w:t xml:space="preserve"> </w:t>
            </w:r>
            <w:r>
              <w:rPr>
                <w:rFonts w:hint="eastAsia"/>
                <w:bCs/>
                <w:sz w:val="20"/>
                <w:lang w:bidi="ar"/>
              </w:rPr>
              <w:t>(</w:t>
            </w:r>
            <w:r>
              <w:rPr>
                <w:rFonts w:hint="eastAsia"/>
                <w:bCs/>
                <w:sz w:val="20"/>
                <w:highlight w:val="yellow"/>
                <w:lang w:bidi="ar"/>
              </w:rPr>
              <w:t>RAN2</w:t>
            </w:r>
            <w:r>
              <w:rPr>
                <w:rFonts w:hint="eastAsia"/>
                <w:bCs/>
                <w:sz w:val="20"/>
                <w:lang w:bidi="ar"/>
              </w:rPr>
              <w:t xml:space="preserve">, </w:t>
            </w:r>
            <w:r>
              <w:rPr>
                <w:bCs/>
                <w:sz w:val="20"/>
                <w:lang w:bidi="ar"/>
              </w:rPr>
              <w:t>R</w:t>
            </w:r>
            <w:r>
              <w:rPr>
                <w:rFonts w:hint="eastAsia"/>
                <w:bCs/>
                <w:sz w:val="20"/>
                <w:lang w:bidi="ar"/>
              </w:rPr>
              <w:t>AN1,</w:t>
            </w:r>
            <w:r>
              <w:rPr>
                <w:bCs/>
                <w:sz w:val="20"/>
                <w:lang w:bidi="ar"/>
              </w:rPr>
              <w:t xml:space="preserve"> </w:t>
            </w:r>
            <w:r>
              <w:rPr>
                <w:rFonts w:hint="eastAsia"/>
                <w:bCs/>
                <w:sz w:val="20"/>
                <w:lang w:bidi="ar"/>
              </w:rPr>
              <w:t>RAN3, RAN4)</w:t>
            </w:r>
          </w:p>
          <w:p>
            <w:pPr>
              <w:widowControl w:val="0"/>
              <w:numPr>
                <w:ilvl w:val="1"/>
                <w:numId w:val="5"/>
              </w:numPr>
              <w:spacing w:before="156" w:beforeLines="50" w:after="0" w:line="240" w:lineRule="auto"/>
              <w:ind w:hanging="357"/>
              <w:jc w:val="left"/>
              <w:rPr>
                <w:bCs/>
                <w:sz w:val="20"/>
                <w:lang w:eastAsia="en-GB"/>
              </w:rPr>
            </w:pPr>
            <w:r>
              <w:rPr>
                <w:bCs/>
                <w:sz w:val="20"/>
                <w:lang w:bidi="ar"/>
              </w:rPr>
              <w:t>Specify LP-SS with periodicity with Yms for LP-WUR, for synchronization and/or RRM for serving cell. (RAN1, RAN4)</w:t>
            </w:r>
          </w:p>
          <w:p>
            <w:pPr>
              <w:widowControl w:val="0"/>
              <w:numPr>
                <w:ilvl w:val="2"/>
                <w:numId w:val="5"/>
              </w:numPr>
              <w:spacing w:before="156" w:beforeLines="50" w:after="0" w:line="240" w:lineRule="auto"/>
              <w:ind w:hanging="357"/>
              <w:jc w:val="left"/>
              <w:rPr>
                <w:bCs/>
                <w:sz w:val="20"/>
                <w:lang w:eastAsia="en-GB"/>
              </w:rPr>
            </w:pPr>
            <w:r>
              <w:rPr>
                <w:bCs/>
                <w:sz w:val="20"/>
                <w:lang w:bidi="ar"/>
              </w:rPr>
              <w:t>LP-SS is based on OOK-1 and/or OOK-4 waveform with or without overlaid OFDM sequences. Further down selection between with and without overlaid OFDM sequences is to be done within WI.</w:t>
            </w:r>
          </w:p>
          <w:p>
            <w:pPr>
              <w:widowControl w:val="0"/>
              <w:numPr>
                <w:ilvl w:val="2"/>
                <w:numId w:val="5"/>
              </w:numPr>
              <w:spacing w:before="156" w:beforeLines="50" w:after="0" w:line="240" w:lineRule="auto"/>
              <w:ind w:hanging="357"/>
              <w:jc w:val="left"/>
              <w:rPr>
                <w:bCs/>
                <w:color w:val="000000"/>
                <w:sz w:val="20"/>
                <w:lang w:bidi="ar"/>
              </w:rPr>
            </w:pPr>
            <w:r>
              <w:rPr>
                <w:bCs/>
                <w:color w:val="000000"/>
                <w:sz w:val="20"/>
                <w:lang w:bidi="ar"/>
              </w:rPr>
              <w:t>Note: For LP-WUR that can receive existing PSS/SSS, existing PSS/SSS can be used for synchronization and RRM instead of LP-SS.</w:t>
            </w:r>
          </w:p>
          <w:p>
            <w:pPr>
              <w:widowControl w:val="0"/>
              <w:numPr>
                <w:ilvl w:val="2"/>
                <w:numId w:val="5"/>
              </w:numPr>
              <w:spacing w:before="156" w:beforeLines="50" w:after="0" w:line="240" w:lineRule="auto"/>
              <w:ind w:hanging="357"/>
              <w:jc w:val="left"/>
              <w:rPr>
                <w:bCs/>
                <w:sz w:val="20"/>
                <w:lang w:bidi="ar"/>
              </w:rPr>
            </w:pPr>
            <w:r>
              <w:rPr>
                <w:bCs/>
                <w:sz w:val="20"/>
                <w:lang w:bidi="ar"/>
              </w:rPr>
              <w:t>Y will be decided within WI. 320ms is the start point.</w:t>
            </w:r>
          </w:p>
          <w:p>
            <w:pPr>
              <w:widowControl w:val="0"/>
              <w:numPr>
                <w:ilvl w:val="1"/>
                <w:numId w:val="5"/>
              </w:numPr>
              <w:spacing w:before="156" w:beforeLines="50" w:after="0" w:line="240" w:lineRule="auto"/>
              <w:ind w:hanging="357"/>
              <w:jc w:val="left"/>
              <w:rPr>
                <w:bCs/>
                <w:sz w:val="20"/>
                <w:lang w:eastAsia="en-GB"/>
              </w:rPr>
            </w:pPr>
            <w:r>
              <w:rPr>
                <w:bCs/>
                <w:sz w:val="20"/>
                <w:lang w:bidi="ar"/>
              </w:rPr>
              <w:t>Specify further RRM relaxation of UE MR for both serving and neighbor cell measurements, and UE serving cell RRM measurement offloaded from MR to LP-WUR, including the necessary conditions (RAN4, RAN2)</w:t>
            </w:r>
          </w:p>
        </w:tc>
      </w:tr>
    </w:tbl>
    <w:p>
      <w:pPr>
        <w:spacing w:before="240" w:line="240" w:lineRule="auto"/>
        <w:rPr>
          <w:szCs w:val="21"/>
          <w:lang w:val="en-GB"/>
        </w:rPr>
      </w:pPr>
      <w:r>
        <w:rPr>
          <w:szCs w:val="21"/>
          <w:lang w:val="en-GB"/>
        </w:rPr>
        <w:t xml:space="preserve">In this contribution, we discuss </w:t>
      </w:r>
      <w:r>
        <w:rPr>
          <w:rFonts w:hint="eastAsia"/>
          <w:szCs w:val="21"/>
          <w:lang w:val="en-US" w:eastAsia="zh-CN"/>
        </w:rPr>
        <w:t xml:space="preserve">some general issues concerning the </w:t>
      </w:r>
      <w:r>
        <w:rPr>
          <w:szCs w:val="21"/>
          <w:lang w:val="en-GB"/>
        </w:rPr>
        <w:t>procedure and configuration of LP-WUS for IDLE/INACTIVE modes.</w:t>
      </w:r>
    </w:p>
    <w:p>
      <w:pPr>
        <w:pStyle w:val="2"/>
        <w:keepLines/>
        <w:numPr>
          <w:ilvl w:val="0"/>
          <w:numId w:val="4"/>
        </w:numPr>
        <w:pBdr>
          <w:top w:val="single" w:color="auto" w:sz="12" w:space="4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>
        <w:t>Discussion</w:t>
      </w:r>
    </w:p>
    <w:p>
      <w:pPr>
        <w:pStyle w:val="33"/>
        <w:keepNext/>
        <w:numPr>
          <w:ilvl w:val="0"/>
          <w:numId w:val="1"/>
        </w:numPr>
        <w:overflowPunct/>
        <w:autoSpaceDE/>
        <w:autoSpaceDN/>
        <w:adjustRightInd/>
        <w:spacing w:before="240" w:after="240" w:line="240" w:lineRule="auto"/>
        <w:ind w:firstLineChars="0"/>
        <w:textAlignment w:val="auto"/>
        <w:outlineLvl w:val="0"/>
        <w:rPr>
          <w:rFonts w:ascii="Arial" w:hAnsi="Arial" w:eastAsia="黑体"/>
          <w:b/>
          <w:vanish/>
          <w:sz w:val="32"/>
          <w:szCs w:val="32"/>
        </w:rPr>
      </w:pPr>
    </w:p>
    <w:p>
      <w:pPr>
        <w:pStyle w:val="33"/>
        <w:keepNext/>
        <w:numPr>
          <w:ilvl w:val="0"/>
          <w:numId w:val="1"/>
        </w:numPr>
        <w:overflowPunct/>
        <w:autoSpaceDE/>
        <w:autoSpaceDN/>
        <w:adjustRightInd/>
        <w:spacing w:before="240" w:after="240" w:line="240" w:lineRule="auto"/>
        <w:ind w:firstLineChars="0"/>
        <w:textAlignment w:val="auto"/>
        <w:outlineLvl w:val="0"/>
        <w:rPr>
          <w:rFonts w:ascii="Arial" w:hAnsi="Arial" w:eastAsia="黑体"/>
          <w:b/>
          <w:vanish/>
          <w:sz w:val="32"/>
          <w:szCs w:val="32"/>
        </w:rPr>
      </w:pPr>
    </w:p>
    <w:p>
      <w:pPr>
        <w:pStyle w:val="3"/>
      </w:pPr>
      <w:r>
        <w:t>Basic procedure</w:t>
      </w:r>
      <w:r>
        <w:rPr>
          <w:rFonts w:hint="eastAsia"/>
          <w:lang w:val="en-US" w:eastAsia="zh-CN"/>
        </w:rPr>
        <w:t xml:space="preserve"> and configuration</w:t>
      </w:r>
      <w:r>
        <w:t xml:space="preserve"> for paging monitoring triggered by LP-WUS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 the last RAN1#116 meeting, we have arrived at the following agreements regarding the issues of LP-WUS for RRC_IDLE/INACTIVE modes.</w:t>
      </w:r>
    </w:p>
    <w:p>
      <w:pPr>
        <w:pStyle w:val="33"/>
        <w:keepNext/>
        <w:numPr>
          <w:ilvl w:val="0"/>
          <w:numId w:val="1"/>
        </w:numPr>
        <w:overflowPunct/>
        <w:autoSpaceDE/>
        <w:autoSpaceDN/>
        <w:adjustRightInd/>
        <w:spacing w:before="240" w:after="240" w:line="240" w:lineRule="auto"/>
        <w:ind w:firstLineChars="0"/>
        <w:textAlignment w:val="auto"/>
        <w:outlineLvl w:val="0"/>
        <w:rPr>
          <w:rFonts w:ascii="Arial" w:hAnsi="Arial" w:eastAsia="黑体"/>
          <w:b/>
          <w:vanish/>
          <w:sz w:val="32"/>
          <w:szCs w:val="32"/>
        </w:rPr>
      </w:pPr>
      <w:bookmarkStart w:id="1" w:name="OLE_LINK139"/>
      <w:bookmarkStart w:id="2" w:name="OLE_LINK140"/>
    </w:p>
    <w:p>
      <w:pPr>
        <w:pStyle w:val="33"/>
        <w:keepNext/>
        <w:numPr>
          <w:ilvl w:val="0"/>
          <w:numId w:val="1"/>
        </w:numPr>
        <w:overflowPunct/>
        <w:autoSpaceDE/>
        <w:autoSpaceDN/>
        <w:adjustRightInd/>
        <w:spacing w:before="240" w:after="240" w:line="240" w:lineRule="auto"/>
        <w:ind w:firstLineChars="0"/>
        <w:textAlignment w:val="auto"/>
        <w:outlineLvl w:val="0"/>
        <w:rPr>
          <w:rFonts w:ascii="Arial" w:hAnsi="Arial" w:eastAsia="黑体"/>
          <w:b/>
          <w:vanish/>
          <w:sz w:val="32"/>
          <w:szCs w:val="32"/>
        </w:rPr>
      </w:pP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8" w:type="dxa"/>
          </w:tcPr>
          <w:p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Batang"/>
                <w:b/>
                <w:highlight w:val="green"/>
                <w:lang w:bidi="ar"/>
              </w:rPr>
            </w:pPr>
            <w:r>
              <w:rPr>
                <w:rFonts w:eastAsia="Batang"/>
                <w:b/>
                <w:highlight w:val="green"/>
                <w:lang w:bidi="ar"/>
              </w:rPr>
              <w:t>Agreement</w:t>
            </w:r>
          </w:p>
          <w:p>
            <w:pPr>
              <w:widowControl w:val="0"/>
              <w:spacing w:after="0" w:line="240" w:lineRule="auto"/>
              <w:rPr>
                <w:rFonts w:eastAsia="Batang"/>
                <w:lang w:val="en-GB" w:eastAsia="en-US"/>
              </w:rPr>
            </w:pPr>
            <w:r>
              <w:rPr>
                <w:rFonts w:eastAsia="Batang"/>
                <w:lang w:val="en-GB" w:eastAsia="en-US"/>
              </w:rPr>
              <w:t xml:space="preserve">For the case where a UE supports PEI and PEI is configured by the gNB, after the UE receives LP-WUS indicating wake-up, it is </w:t>
            </w:r>
            <w:r>
              <w:rPr>
                <w:rFonts w:eastAsia="Batang"/>
                <w:highlight w:val="none"/>
                <w:lang w:val="en-GB" w:eastAsia="en-US"/>
              </w:rPr>
              <w:t xml:space="preserve">up to UE implementation </w:t>
            </w:r>
            <w:r>
              <w:rPr>
                <w:rFonts w:eastAsia="Batang"/>
                <w:lang w:val="en-GB" w:eastAsia="en-US"/>
              </w:rPr>
              <w:t>whether to monitor PEI or not.</w:t>
            </w:r>
          </w:p>
          <w:p>
            <w:pPr>
              <w:widowControl w:val="0"/>
              <w:spacing w:after="0" w:line="240" w:lineRule="auto"/>
              <w:rPr>
                <w:rFonts w:eastAsiaTheme="minorEastAsia"/>
                <w:bCs/>
                <w:szCs w:val="22"/>
              </w:rPr>
            </w:pPr>
          </w:p>
          <w:p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hAnsi="Times" w:eastAsia="Batang"/>
                <w:b/>
                <w:bCs/>
                <w:szCs w:val="22"/>
                <w:highlight w:val="green"/>
                <w:lang w:bidi="ar"/>
              </w:rPr>
            </w:pPr>
            <w:r>
              <w:rPr>
                <w:rFonts w:ascii="Times" w:hAnsi="Times" w:eastAsia="Batang"/>
                <w:b/>
                <w:bCs/>
                <w:szCs w:val="22"/>
                <w:highlight w:val="green"/>
                <w:lang w:bidi="ar"/>
              </w:rPr>
              <w:t>Agreement</w:t>
            </w:r>
          </w:p>
          <w:p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hAnsi="Times" w:eastAsia="Batang"/>
                <w:szCs w:val="22"/>
                <w:lang w:val="en-GB" w:eastAsia="en-US"/>
              </w:rPr>
            </w:pPr>
            <w:r>
              <w:rPr>
                <w:rFonts w:ascii="Times" w:hAnsi="Times" w:eastAsia="Batang"/>
                <w:szCs w:val="22"/>
                <w:lang w:val="en-GB" w:eastAsia="en-US"/>
              </w:rPr>
              <w:t>It is supported that the UE monitors the legacy PO after receiving LP-WUS indicating wake-up.</w:t>
            </w:r>
          </w:p>
          <w:p>
            <w:pPr>
              <w:widowControl w:val="0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="Batang"/>
                <w:szCs w:val="22"/>
                <w:lang w:val="en-GB" w:eastAsia="zh-CN"/>
              </w:rPr>
            </w:pPr>
            <w:r>
              <w:rPr>
                <w:rFonts w:eastAsia="Batang"/>
                <w:szCs w:val="22"/>
                <w:lang w:val="en-GB" w:eastAsia="zh-CN"/>
              </w:rPr>
              <w:t>FFS: support of UE monitoring dynamic PO</w:t>
            </w:r>
          </w:p>
          <w:p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hAnsi="Times" w:eastAsia="Batang"/>
                <w:szCs w:val="22"/>
                <w:lang w:val="en-GB" w:bidi="ar"/>
              </w:rPr>
            </w:pPr>
          </w:p>
          <w:p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hAnsi="Times" w:eastAsia="Batang"/>
                <w:b/>
                <w:bCs/>
                <w:szCs w:val="22"/>
                <w:lang w:val="en-GB" w:eastAsia="en-US"/>
              </w:rPr>
            </w:pPr>
            <w:r>
              <w:rPr>
                <w:rFonts w:ascii="Times" w:hAnsi="Times" w:eastAsia="Batang"/>
                <w:b/>
                <w:bCs/>
                <w:szCs w:val="22"/>
                <w:lang w:val="en-GB" w:eastAsia="en-US"/>
              </w:rPr>
              <w:t>Conclusion</w:t>
            </w:r>
          </w:p>
          <w:p>
            <w:pPr>
              <w:widowControl w:val="0"/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hAnsi="Times" w:eastAsia="Batang"/>
                <w:sz w:val="20"/>
                <w:lang w:val="en-GB" w:eastAsia="en-US"/>
              </w:rPr>
            </w:pPr>
            <w:r>
              <w:rPr>
                <w:rFonts w:ascii="Times" w:hAnsi="Times" w:eastAsia="Batang"/>
                <w:szCs w:val="22"/>
                <w:lang w:val="en-GB" w:eastAsia="en-US"/>
              </w:rPr>
              <w:t>For idle/inactive mode, how to map a UE to a subgroup ID for LP-WUS is left to RAN2 to decide.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80" w:line="240" w:lineRule="auto"/>
        <w:textAlignment w:val="baseline"/>
        <w:rPr>
          <w:rFonts w:hint="default" w:ascii="Times New Roman" w:hAnsi="Times New Roman" w:cs="Times New Roman" w:eastAsiaTheme="minorEastAsia"/>
          <w:bCs/>
          <w:szCs w:val="22"/>
          <w:lang w:val="en-US" w:eastAsia="zh-CN"/>
        </w:rPr>
      </w:pPr>
      <w:bookmarkStart w:id="3" w:name="OLE_LINK6"/>
      <w:r>
        <w:rPr>
          <w:rFonts w:hint="eastAsia" w:ascii="Times New Roman" w:hAnsi="Times New Roman" w:cs="Times New Roman" w:eastAsiaTheme="minorEastAsia"/>
          <w:bCs/>
          <w:szCs w:val="22"/>
          <w:lang w:val="en-US" w:eastAsia="zh-CN"/>
        </w:rPr>
        <w:t>The methods of subgroup</w:t>
      </w:r>
      <w:r>
        <w:rPr>
          <w:rFonts w:hint="eastAsia" w:cs="Times New Roman" w:eastAsiaTheme="minorEastAsia"/>
          <w:bCs/>
          <w:szCs w:val="22"/>
          <w:lang w:val="en-US" w:eastAsia="zh-CN"/>
        </w:rPr>
        <w:t>ing</w:t>
      </w:r>
      <w:r>
        <w:rPr>
          <w:rFonts w:hint="eastAsia" w:ascii="Times New Roman" w:hAnsi="Times New Roman" w:cs="Times New Roman" w:eastAsiaTheme="minorEastAsia"/>
          <w:bCs/>
          <w:szCs w:val="22"/>
          <w:lang w:val="en-US" w:eastAsia="zh-CN"/>
        </w:rPr>
        <w:t xml:space="preserve"> are efficient and have been introduced in Rel-17 power saving. As the main issues considered for LP-WUS paging design, we can reuse previous methods as a baseline (e.g., AMF</w:t>
      </w:r>
      <w:r>
        <w:rPr>
          <w:rFonts w:hint="eastAsia" w:cs="Times New Roman" w:eastAsiaTheme="minorEastAsia"/>
          <w:bCs/>
          <w:szCs w:val="22"/>
          <w:lang w:val="en-US" w:eastAsia="zh-CN"/>
        </w:rPr>
        <w:t>-</w:t>
      </w:r>
      <w:r>
        <w:rPr>
          <w:rFonts w:hint="eastAsia" w:ascii="Times New Roman" w:hAnsi="Times New Roman" w:cs="Times New Roman" w:eastAsiaTheme="minorEastAsia"/>
          <w:bCs/>
          <w:szCs w:val="22"/>
          <w:lang w:val="en-US" w:eastAsia="zh-CN"/>
        </w:rPr>
        <w:t>controlled subgrouping and UE_ID based subgrouping) or design a brand new solution for subgrouping if necessary. The key point</w:t>
      </w:r>
      <w:r>
        <w:rPr>
          <w:rFonts w:hint="eastAsia" w:cs="Times New Roman" w:eastAsiaTheme="minorEastAsia"/>
          <w:bCs/>
          <w:szCs w:val="22"/>
          <w:lang w:val="en-US" w:eastAsia="zh-CN"/>
        </w:rPr>
        <w:t>s</w:t>
      </w:r>
      <w:r>
        <w:rPr>
          <w:rFonts w:hint="eastAsia" w:ascii="Times New Roman" w:hAnsi="Times New Roman" w:cs="Times New Roman" w:eastAsiaTheme="minorEastAsia"/>
          <w:bCs/>
          <w:szCs w:val="22"/>
          <w:lang w:val="en-US" w:eastAsia="zh-CN"/>
        </w:rPr>
        <w:t xml:space="preserve"> for </w:t>
      </w:r>
      <w:r>
        <w:rPr>
          <w:rFonts w:eastAsiaTheme="minorEastAsia"/>
          <w:bCs/>
          <w:szCs w:val="22"/>
        </w:rPr>
        <w:t>LP-WUS subgroup design</w:t>
      </w:r>
      <w:r>
        <w:rPr>
          <w:rFonts w:hint="eastAsia" w:eastAsiaTheme="minorEastAsia"/>
          <w:bCs/>
          <w:szCs w:val="22"/>
          <w:lang w:val="en-US" w:eastAsia="zh-CN"/>
        </w:rPr>
        <w:t xml:space="preserve"> will include the </w:t>
      </w:r>
      <w:r>
        <w:rPr>
          <w:rFonts w:eastAsiaTheme="minorEastAsia"/>
          <w:bCs/>
          <w:szCs w:val="22"/>
        </w:rPr>
        <w:t>principle of the formula</w:t>
      </w:r>
      <w:r>
        <w:rPr>
          <w:rFonts w:hint="eastAsia" w:eastAsiaTheme="minorEastAsia"/>
          <w:bCs/>
          <w:szCs w:val="22"/>
          <w:lang w:val="en-US" w:eastAsia="zh-CN"/>
        </w:rPr>
        <w:t xml:space="preserve">, related parameters, mapping relationships, obtained gains, etc. </w:t>
      </w:r>
    </w:p>
    <w:p>
      <w:pPr>
        <w:spacing w:line="240" w:lineRule="auto"/>
        <w:rPr>
          <w:rFonts w:hint="eastAsia" w:ascii="Times New Roman" w:hAnsi="Times New Roman" w:cs="Times New Roman" w:eastAsiaTheme="minorEastAsia"/>
          <w:b/>
          <w:bCs/>
          <w:szCs w:val="22"/>
          <w:lang w:val="en-US" w:eastAsia="zh-CN"/>
        </w:rPr>
      </w:pPr>
      <w:r>
        <w:rPr>
          <w:rFonts w:eastAsiaTheme="minorEastAsia"/>
          <w:b/>
          <w:bCs/>
          <w:szCs w:val="22"/>
        </w:rPr>
        <w:t xml:space="preserve">Proposal </w:t>
      </w:r>
      <w:r>
        <w:rPr>
          <w:rFonts w:hint="eastAsia" w:ascii="Times New Roman" w:hAnsi="Times New Roman" w:cs="Times New Roman" w:eastAsiaTheme="minorEastAsia"/>
          <w:b/>
          <w:bCs/>
          <w:szCs w:val="22"/>
          <w:lang w:val="en-US" w:eastAsia="zh-CN"/>
        </w:rPr>
        <w:t>1</w:t>
      </w:r>
      <w:r>
        <w:rPr>
          <w:rFonts w:ascii="Times New Roman" w:hAnsi="Times New Roman" w:cs="Times New Roman" w:eastAsiaTheme="minorEastAsia"/>
          <w:b/>
          <w:bCs/>
          <w:szCs w:val="22"/>
        </w:rPr>
        <w:t xml:space="preserve">: </w:t>
      </w:r>
      <w:r>
        <w:rPr>
          <w:rFonts w:hint="eastAsia" w:ascii="Times New Roman" w:hAnsi="Times New Roman" w:cs="Times New Roman" w:eastAsiaTheme="minorEastAsia"/>
          <w:b/>
          <w:bCs/>
          <w:szCs w:val="22"/>
          <w:lang w:val="en-US" w:eastAsia="zh-CN"/>
        </w:rPr>
        <w:t xml:space="preserve">RAN2 to discuss the design of </w:t>
      </w:r>
      <w:r>
        <w:rPr>
          <w:rFonts w:hint="eastAsia" w:cs="Times New Roman" w:eastAsiaTheme="minorEastAsia"/>
          <w:b/>
          <w:bCs/>
          <w:szCs w:val="22"/>
          <w:lang w:val="en-US" w:eastAsia="zh-CN"/>
        </w:rPr>
        <w:t xml:space="preserve">the </w:t>
      </w:r>
      <w:r>
        <w:rPr>
          <w:rFonts w:hint="eastAsia" w:ascii="Times New Roman" w:hAnsi="Times New Roman" w:cs="Times New Roman" w:eastAsiaTheme="minorEastAsia"/>
          <w:b/>
          <w:bCs/>
          <w:szCs w:val="22"/>
          <w:lang w:val="en-US" w:eastAsia="zh-CN"/>
        </w:rPr>
        <w:t>LP-WUS subgrouping method. Whether using the existing methods or a new method need</w:t>
      </w:r>
      <w:r>
        <w:rPr>
          <w:rFonts w:hint="eastAsia" w:cs="Times New Roman" w:eastAsiaTheme="minorEastAsia"/>
          <w:b/>
          <w:bCs/>
          <w:szCs w:val="22"/>
          <w:lang w:val="en-US" w:eastAsia="zh-CN"/>
        </w:rPr>
        <w:t>s</w:t>
      </w:r>
      <w:r>
        <w:rPr>
          <w:rFonts w:hint="eastAsia" w:ascii="Times New Roman" w:hAnsi="Times New Roman" w:cs="Times New Roman" w:eastAsiaTheme="minorEastAsia"/>
          <w:b/>
          <w:bCs/>
          <w:szCs w:val="22"/>
          <w:lang w:val="en-US" w:eastAsia="zh-CN"/>
        </w:rPr>
        <w:t xml:space="preserve"> to be further discussed.</w:t>
      </w:r>
    </w:p>
    <w:bookmarkEnd w:id="3"/>
    <w:p>
      <w:pPr>
        <w:spacing w:line="240" w:lineRule="auto"/>
        <w:rPr>
          <w:rFonts w:hint="default" w:eastAsiaTheme="minorEastAsia"/>
          <w:bCs/>
          <w:szCs w:val="22"/>
          <w:lang w:val="en-US" w:eastAsia="zh-CN"/>
        </w:rPr>
      </w:pPr>
      <w:bookmarkStart w:id="4" w:name="OLE_LINK7"/>
      <w:r>
        <w:rPr>
          <w:rFonts w:hint="eastAsia" w:eastAsiaTheme="minorEastAsia"/>
          <w:bCs/>
          <w:szCs w:val="22"/>
        </w:rPr>
        <w:t>UE monitors legacy paging and monitors PEI after MR wakes up are both supported in RRC_IDLE/INACTIVE states</w:t>
      </w:r>
      <w:r>
        <w:rPr>
          <w:rFonts w:hint="eastAsia" w:eastAsiaTheme="minorEastAsia"/>
          <w:bCs/>
          <w:szCs w:val="22"/>
          <w:lang w:val="en-US" w:eastAsia="zh-CN"/>
        </w:rPr>
        <w:t xml:space="preserve"> according to RAN1</w:t>
      </w:r>
      <w:r>
        <w:rPr>
          <w:rFonts w:hint="default" w:eastAsiaTheme="minorEastAsia"/>
          <w:bCs/>
          <w:szCs w:val="22"/>
          <w:lang w:val="en-US" w:eastAsia="zh-CN"/>
        </w:rPr>
        <w:t>’</w:t>
      </w:r>
      <w:r>
        <w:rPr>
          <w:rFonts w:hint="eastAsia" w:eastAsiaTheme="minorEastAsia"/>
          <w:bCs/>
          <w:szCs w:val="22"/>
          <w:lang w:val="en-US" w:eastAsia="zh-CN"/>
        </w:rPr>
        <w:t>s agreements. If UE implementation indicates monitoring PEI, LP-WUS should work independently without PEI</w:t>
      </w:r>
      <w:r>
        <w:rPr>
          <w:rFonts w:hint="default" w:eastAsiaTheme="minorEastAsia"/>
          <w:bCs/>
          <w:szCs w:val="22"/>
          <w:lang w:val="en-US" w:eastAsia="zh-CN"/>
        </w:rPr>
        <w:t>’</w:t>
      </w:r>
      <w:r>
        <w:rPr>
          <w:rFonts w:hint="eastAsia" w:eastAsiaTheme="minorEastAsia"/>
          <w:bCs/>
          <w:szCs w:val="22"/>
          <w:lang w:val="en-US" w:eastAsia="zh-CN"/>
        </w:rPr>
        <w:t xml:space="preserve">s influence. Therefore, RAN2 aim to consider the design of </w:t>
      </w:r>
      <w:r>
        <w:rPr>
          <w:rFonts w:eastAsiaTheme="minorEastAsia"/>
          <w:bCs/>
          <w:szCs w:val="22"/>
        </w:rPr>
        <w:t>UE_ID based subgrouping</w:t>
      </w:r>
      <w:r>
        <w:rPr>
          <w:rFonts w:hint="eastAsia" w:eastAsiaTheme="minorEastAsia"/>
          <w:bCs/>
          <w:szCs w:val="22"/>
          <w:lang w:val="en-US" w:eastAsia="zh-CN"/>
        </w:rPr>
        <w:t xml:space="preserve"> coexisted with PEI.</w:t>
      </w:r>
    </w:p>
    <w:p>
      <w:pPr>
        <w:spacing w:line="240" w:lineRule="auto"/>
        <w:rPr>
          <w:rFonts w:hint="default" w:eastAsiaTheme="minorEastAsia"/>
          <w:b/>
          <w:bCs/>
          <w:szCs w:val="22"/>
          <w:lang w:val="en-US" w:eastAsia="zh-CN"/>
        </w:rPr>
      </w:pPr>
      <w:r>
        <w:rPr>
          <w:rFonts w:hint="eastAsia" w:eastAsiaTheme="minorEastAsia"/>
          <w:b/>
          <w:bCs/>
          <w:szCs w:val="22"/>
        </w:rPr>
        <w:t>P</w:t>
      </w:r>
      <w:r>
        <w:rPr>
          <w:rFonts w:eastAsiaTheme="minorEastAsia"/>
          <w:b/>
          <w:bCs/>
          <w:szCs w:val="22"/>
        </w:rPr>
        <w:t xml:space="preserve">roposal </w:t>
      </w:r>
      <w:r>
        <w:rPr>
          <w:rFonts w:hint="eastAsia" w:eastAsiaTheme="minorEastAsia"/>
          <w:b/>
          <w:bCs/>
          <w:szCs w:val="22"/>
          <w:lang w:val="en-US" w:eastAsia="zh-CN"/>
        </w:rPr>
        <w:t>2</w:t>
      </w:r>
      <w:r>
        <w:rPr>
          <w:rFonts w:eastAsiaTheme="minorEastAsia"/>
          <w:b/>
          <w:bCs/>
          <w:szCs w:val="22"/>
        </w:rPr>
        <w:t xml:space="preserve">: RAN2 aim to design UE-ID based subgrouping </w:t>
      </w:r>
      <w:r>
        <w:rPr>
          <w:rFonts w:hint="eastAsia" w:eastAsiaTheme="minorEastAsia"/>
          <w:b/>
          <w:bCs/>
          <w:szCs w:val="22"/>
          <w:lang w:val="en-US" w:eastAsia="zh-CN"/>
        </w:rPr>
        <w:t>of LP-WUS coexisted with PEI.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As for the entry/exit conditions for LP-WUS monitoring, it has been discussed during the SI phase and arrived at the following agreements:</w:t>
      </w:r>
    </w:p>
    <w:bookmarkEnd w:id="4"/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8" w:type="dxa"/>
          </w:tcPr>
          <w:p>
            <w:pPr>
              <w:widowControl w:val="0"/>
              <w:rPr>
                <w:rFonts w:eastAsiaTheme="minorEastAsia"/>
                <w:bCs/>
                <w:szCs w:val="22"/>
              </w:rPr>
            </w:pPr>
            <w:r>
              <w:rPr>
                <w:rFonts w:eastAsiaTheme="minorEastAsia"/>
                <w:bCs/>
                <w:szCs w:val="22"/>
              </w:rPr>
              <w:t xml:space="preserve">Proposal 1: </w:t>
            </w:r>
            <w:bookmarkStart w:id="5" w:name="OLE_LINK1"/>
            <w:r>
              <w:rPr>
                <w:rFonts w:eastAsiaTheme="minorEastAsia"/>
                <w:bCs/>
                <w:szCs w:val="22"/>
              </w:rPr>
              <w:t xml:space="preserve">Entry/exit condition(s) of using LP-WUS </w:t>
            </w:r>
            <w:bookmarkEnd w:id="5"/>
            <w:r>
              <w:rPr>
                <w:rFonts w:eastAsiaTheme="minorEastAsia"/>
                <w:bCs/>
                <w:szCs w:val="22"/>
              </w:rPr>
              <w:t xml:space="preserve">is configured in SIB. </w:t>
            </w:r>
          </w:p>
          <w:p>
            <w:pPr>
              <w:widowControl w:val="0"/>
              <w:rPr>
                <w:rFonts w:eastAsiaTheme="minorEastAsia"/>
                <w:bCs/>
                <w:szCs w:val="22"/>
              </w:rPr>
            </w:pPr>
            <w:r>
              <w:rPr>
                <w:rFonts w:eastAsiaTheme="minorEastAsia"/>
                <w:bCs/>
                <w:szCs w:val="22"/>
              </w:rPr>
              <w:t>Proposal 2: FFS via RRC dedicated signaling, e.g. by RRC release.</w:t>
            </w:r>
          </w:p>
          <w:p>
            <w:pPr>
              <w:widowControl w:val="0"/>
              <w:spacing w:after="0" w:line="240" w:lineRule="auto"/>
            </w:pPr>
            <w:r>
              <w:rPr>
                <w:rFonts w:eastAsiaTheme="minorEastAsia"/>
                <w:bCs/>
                <w:szCs w:val="22"/>
              </w:rPr>
              <w:t>Proposal 3: Entry condition(s) of using LP-WUS include at least good serv</w:t>
            </w:r>
            <w:r>
              <w:t xml:space="preserve">ing cell quality, e.g. the serving cell quality measurement on LR and/or serving cell quality measurement on MR is better than configured threshold(s) in SIB. Other condition(s) is not precluded/FFS. </w:t>
            </w:r>
          </w:p>
          <w:p>
            <w:pPr>
              <w:widowControl w:val="0"/>
              <w:spacing w:after="0" w:line="240" w:lineRule="auto"/>
            </w:pPr>
            <w:r>
              <w:t xml:space="preserve"> </w:t>
            </w:r>
          </w:p>
          <w:p>
            <w:pPr>
              <w:widowControl w:val="0"/>
              <w:spacing w:after="0" w:line="240" w:lineRule="auto"/>
            </w:pPr>
            <w:r>
              <w:t xml:space="preserve">Proposal 4: UE stops using LP-WUS when exit condition(s) configured in SIB is fulfilled. The exit condition(s) includes at least out of coverage of LP signaling, e.g. </w:t>
            </w:r>
            <w:bookmarkStart w:id="6" w:name="OLE_LINK3"/>
            <w:r>
              <w:t>the serving cell quality measured</w:t>
            </w:r>
            <w:bookmarkEnd w:id="6"/>
            <w:r>
              <w:t xml:space="preserve"> by LR is less than the configured threshold in SIB, FFS on measurement on MR.</w:t>
            </w:r>
          </w:p>
        </w:tc>
      </w:tr>
    </w:tbl>
    <w:p>
      <w:pPr>
        <w:spacing w:before="240" w:line="240" w:lineRule="auto"/>
        <w:rPr>
          <w:rFonts w:hint="default" w:eastAsiaTheme="minorEastAsia"/>
          <w:bCs/>
          <w:szCs w:val="22"/>
          <w:lang w:val="en-US" w:eastAsia="zh-CN"/>
        </w:rPr>
      </w:pPr>
      <w:r>
        <w:rPr>
          <w:rFonts w:hint="eastAsia" w:eastAsiaTheme="minorEastAsia"/>
          <w:bCs/>
          <w:szCs w:val="22"/>
          <w:lang w:val="en-US" w:eastAsia="zh-CN"/>
        </w:rPr>
        <w:t xml:space="preserve">We prefer to configure the entry/exit conditions of using LP-WUS by SIB rather than dedicated signaling. Because it is the simplest way to configure entry/exit conditions. Using dedicated signaling may result in signaling overhead, and thus, we have the view that using SIB as a starting point to </w:t>
      </w:r>
      <w:r>
        <w:rPr>
          <w:rFonts w:eastAsiaTheme="minorEastAsia"/>
          <w:bCs/>
          <w:szCs w:val="22"/>
        </w:rPr>
        <w:t>configure entry/exit conditions</w:t>
      </w:r>
      <w:r>
        <w:rPr>
          <w:rFonts w:hint="eastAsia" w:eastAsiaTheme="minorEastAsia"/>
          <w:bCs/>
          <w:szCs w:val="22"/>
          <w:lang w:val="en-US" w:eastAsia="zh-CN"/>
        </w:rPr>
        <w:t xml:space="preserve"> is better.</w:t>
      </w:r>
    </w:p>
    <w:p>
      <w:pPr>
        <w:spacing w:line="240" w:lineRule="auto"/>
        <w:rPr>
          <w:rFonts w:hint="eastAsia" w:eastAsiaTheme="minorEastAsia"/>
          <w:b/>
          <w:bCs/>
          <w:szCs w:val="22"/>
          <w:lang w:val="en-US" w:eastAsia="zh-CN"/>
        </w:rPr>
      </w:pPr>
      <w:bookmarkStart w:id="7" w:name="OLE_LINK4"/>
      <w:r>
        <w:rPr>
          <w:rFonts w:hint="eastAsia" w:eastAsiaTheme="minorEastAsia"/>
          <w:b/>
          <w:bCs/>
          <w:szCs w:val="22"/>
        </w:rPr>
        <w:t>P</w:t>
      </w:r>
      <w:r>
        <w:rPr>
          <w:rFonts w:eastAsiaTheme="minorEastAsia"/>
          <w:b/>
          <w:bCs/>
          <w:szCs w:val="22"/>
        </w:rPr>
        <w:t xml:space="preserve">roposal </w:t>
      </w:r>
      <w:r>
        <w:rPr>
          <w:rFonts w:hint="eastAsia" w:eastAsiaTheme="minorEastAsia"/>
          <w:b/>
          <w:bCs/>
          <w:szCs w:val="22"/>
          <w:lang w:val="en-US" w:eastAsia="zh-CN"/>
        </w:rPr>
        <w:t>3</w:t>
      </w:r>
      <w:r>
        <w:rPr>
          <w:rFonts w:eastAsiaTheme="minorEastAsia"/>
          <w:b/>
          <w:bCs/>
          <w:szCs w:val="22"/>
        </w:rPr>
        <w:t xml:space="preserve">: </w:t>
      </w:r>
      <w:r>
        <w:rPr>
          <w:rFonts w:hint="eastAsia" w:eastAsiaTheme="minorEastAsia"/>
          <w:b/>
          <w:bCs/>
          <w:szCs w:val="22"/>
          <w:lang w:val="en-US" w:eastAsia="zh-CN"/>
        </w:rPr>
        <w:t>It</w:t>
      </w:r>
      <w:r>
        <w:rPr>
          <w:rFonts w:hint="default" w:eastAsiaTheme="minorEastAsia"/>
          <w:b/>
          <w:bCs/>
          <w:szCs w:val="22"/>
          <w:lang w:val="en-US" w:eastAsia="zh-CN"/>
        </w:rPr>
        <w:t>’</w:t>
      </w:r>
      <w:r>
        <w:rPr>
          <w:rFonts w:hint="eastAsia" w:eastAsiaTheme="minorEastAsia"/>
          <w:b/>
          <w:bCs/>
          <w:szCs w:val="22"/>
          <w:lang w:val="en-US" w:eastAsia="zh-CN"/>
        </w:rPr>
        <w:t>s better to use SIB to configure the entry/exit condition(s) of using LP-WUS.</w:t>
      </w:r>
    </w:p>
    <w:bookmarkEnd w:id="7"/>
    <w:p>
      <w:pPr>
        <w:spacing w:line="240" w:lineRule="auto"/>
        <w:rPr>
          <w:rFonts w:hint="eastAsia"/>
          <w:lang w:val="en-US" w:eastAsia="zh-CN"/>
        </w:rPr>
      </w:pPr>
      <w:r>
        <w:rPr>
          <w:rFonts w:hint="eastAsia" w:eastAsiaTheme="minorEastAsia"/>
          <w:bCs/>
          <w:szCs w:val="22"/>
          <w:lang w:val="en-US" w:eastAsia="zh-CN"/>
        </w:rPr>
        <w:t xml:space="preserve">According to the above Proposals 2&amp;3, serving </w:t>
      </w:r>
      <w:r>
        <w:rPr>
          <w:rFonts w:eastAsiaTheme="minorEastAsia"/>
          <w:bCs/>
          <w:szCs w:val="22"/>
        </w:rPr>
        <w:t>cell measurement on MR</w:t>
      </w:r>
      <w:r>
        <w:rPr>
          <w:rFonts w:hint="eastAsia" w:eastAsiaTheme="minorEastAsia"/>
          <w:bCs/>
          <w:szCs w:val="22"/>
          <w:lang w:val="en-US" w:eastAsia="zh-CN"/>
        </w:rPr>
        <w:t xml:space="preserve"> for the </w:t>
      </w:r>
      <w:r>
        <w:rPr>
          <w:rFonts w:eastAsiaTheme="minorEastAsia"/>
          <w:bCs/>
          <w:szCs w:val="22"/>
        </w:rPr>
        <w:t>entry condition of using LP-WUS</w:t>
      </w:r>
      <w:r>
        <w:rPr>
          <w:rFonts w:hint="eastAsia" w:eastAsiaTheme="minorEastAsia"/>
          <w:bCs/>
          <w:szCs w:val="22"/>
          <w:lang w:val="en-US" w:eastAsia="zh-CN"/>
        </w:rPr>
        <w:t xml:space="preserve"> is more efficient due to the better hardware capability. Besides, when </w:t>
      </w:r>
      <w:r>
        <w:t>the serving cell quality measure</w:t>
      </w:r>
      <w:r>
        <w:rPr>
          <w:rFonts w:hint="eastAsia"/>
          <w:lang w:val="en-US" w:eastAsia="zh-CN"/>
        </w:rPr>
        <w:t>ment is below configured thresholds, it means this condition satisfies the exit condition and MR would start to monitor legacy paging.</w:t>
      </w:r>
    </w:p>
    <w:p>
      <w:pPr>
        <w:spacing w:line="240" w:lineRule="auto"/>
        <w:rPr>
          <w:rFonts w:hint="default" w:eastAsiaTheme="minorEastAsia"/>
          <w:b/>
          <w:bCs/>
          <w:szCs w:val="22"/>
          <w:lang w:val="en-US" w:eastAsia="zh-CN"/>
        </w:rPr>
      </w:pPr>
      <w:bookmarkStart w:id="8" w:name="OLE_LINK8"/>
      <w:bookmarkStart w:id="9" w:name="OLE_LINK2"/>
      <w:r>
        <w:rPr>
          <w:rFonts w:hint="eastAsia" w:eastAsiaTheme="minorEastAsia"/>
          <w:b/>
          <w:bCs/>
          <w:szCs w:val="22"/>
        </w:rPr>
        <w:t>P</w:t>
      </w:r>
      <w:r>
        <w:rPr>
          <w:rFonts w:eastAsiaTheme="minorEastAsia"/>
          <w:b/>
          <w:bCs/>
          <w:szCs w:val="22"/>
        </w:rPr>
        <w:t xml:space="preserve">roposal </w:t>
      </w:r>
      <w:r>
        <w:rPr>
          <w:rFonts w:hint="eastAsia" w:eastAsiaTheme="minorEastAsia"/>
          <w:b/>
          <w:bCs/>
          <w:szCs w:val="22"/>
          <w:lang w:val="en-US" w:eastAsia="zh-CN"/>
        </w:rPr>
        <w:t>4</w:t>
      </w:r>
      <w:r>
        <w:rPr>
          <w:rFonts w:eastAsiaTheme="minorEastAsia"/>
          <w:b/>
          <w:bCs/>
          <w:szCs w:val="22"/>
        </w:rPr>
        <w:t xml:space="preserve">: </w:t>
      </w:r>
      <w:bookmarkStart w:id="10" w:name="OLE_LINK5"/>
      <w:r>
        <w:rPr>
          <w:rFonts w:hint="eastAsia" w:eastAsiaTheme="minorEastAsia"/>
          <w:b/>
          <w:bCs/>
          <w:szCs w:val="22"/>
          <w:lang w:val="en-US" w:eastAsia="zh-CN"/>
        </w:rPr>
        <w:t>RAN2 to further determine the entry/exit conditions of using LP-WUS based on the SI</w:t>
      </w:r>
      <w:r>
        <w:rPr>
          <w:rFonts w:hint="default" w:eastAsiaTheme="minorEastAsia"/>
          <w:b/>
          <w:bCs/>
          <w:szCs w:val="22"/>
          <w:lang w:val="en-US" w:eastAsia="zh-CN"/>
        </w:rPr>
        <w:t>’</w:t>
      </w:r>
      <w:r>
        <w:rPr>
          <w:rFonts w:hint="eastAsia" w:eastAsiaTheme="minorEastAsia"/>
          <w:b/>
          <w:bCs/>
          <w:szCs w:val="22"/>
          <w:lang w:val="en-US" w:eastAsia="zh-CN"/>
        </w:rPr>
        <w:t>s agreements.</w:t>
      </w:r>
      <w:bookmarkEnd w:id="8"/>
    </w:p>
    <w:bookmarkEnd w:id="1"/>
    <w:bookmarkEnd w:id="2"/>
    <w:bookmarkEnd w:id="9"/>
    <w:bookmarkEnd w:id="10"/>
    <w:p>
      <w:pPr>
        <w:pStyle w:val="2"/>
        <w:keepLines/>
        <w:numPr>
          <w:ilvl w:val="0"/>
          <w:numId w:val="4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>
        <w:t>Conclusion</w:t>
      </w:r>
    </w:p>
    <w:p>
      <w:pPr>
        <w:rPr>
          <w:rFonts w:eastAsia="等线"/>
          <w:kern w:val="2"/>
          <w:lang w:eastAsia="zh-CN"/>
        </w:rPr>
      </w:pPr>
      <w:r>
        <w:rPr>
          <w:kern w:val="2"/>
          <w:lang w:eastAsia="zh-CN"/>
        </w:rPr>
        <w:t xml:space="preserve">In this contribution, the </w:t>
      </w:r>
      <w:r>
        <w:rPr>
          <w:rFonts w:eastAsiaTheme="minorEastAsia"/>
          <w:bCs/>
          <w:szCs w:val="22"/>
        </w:rPr>
        <w:t xml:space="preserve">procedure and configuration of LP-WUS for </w:t>
      </w:r>
      <w:r>
        <w:rPr>
          <w:rFonts w:hint="eastAsia" w:eastAsiaTheme="minorEastAsia"/>
          <w:bCs/>
          <w:szCs w:val="22"/>
          <w:lang w:val="en-US" w:eastAsia="zh-CN"/>
        </w:rPr>
        <w:t>RRC_</w:t>
      </w:r>
      <w:r>
        <w:rPr>
          <w:rFonts w:eastAsiaTheme="minorEastAsia"/>
          <w:bCs/>
          <w:szCs w:val="22"/>
        </w:rPr>
        <w:t>IDLE/INACTIVE modes</w:t>
      </w:r>
      <w:r>
        <w:rPr>
          <w:kern w:val="2"/>
          <w:lang w:eastAsia="zh-CN"/>
        </w:rPr>
        <w:t xml:space="preserve"> is discussed and following</w:t>
      </w:r>
      <w:r>
        <w:rPr>
          <w:rFonts w:hint="eastAsia"/>
          <w:kern w:val="2"/>
          <w:lang w:val="en-US" w:eastAsia="zh-CN"/>
        </w:rPr>
        <w:t xml:space="preserve"> </w:t>
      </w:r>
      <w:r>
        <w:rPr>
          <w:kern w:val="2"/>
          <w:lang w:eastAsia="zh-CN"/>
        </w:rPr>
        <w:t>proposals are made accordingly.</w:t>
      </w:r>
    </w:p>
    <w:p>
      <w:pPr>
        <w:spacing w:line="240" w:lineRule="auto"/>
        <w:rPr>
          <w:rFonts w:hint="eastAsia" w:ascii="Times New Roman" w:hAnsi="Times New Roman" w:cs="Times New Roman" w:eastAsiaTheme="minorEastAsia"/>
          <w:b/>
          <w:bCs/>
          <w:szCs w:val="22"/>
          <w:lang w:val="en-US" w:eastAsia="zh-CN"/>
        </w:rPr>
      </w:pPr>
      <w:r>
        <w:rPr>
          <w:rFonts w:eastAsiaTheme="minorEastAsia"/>
          <w:b/>
          <w:bCs/>
          <w:szCs w:val="22"/>
        </w:rPr>
        <w:t xml:space="preserve">Proposal </w:t>
      </w:r>
      <w:r>
        <w:rPr>
          <w:rFonts w:hint="eastAsia" w:ascii="Times New Roman" w:hAnsi="Times New Roman" w:cs="Times New Roman" w:eastAsiaTheme="minorEastAsia"/>
          <w:b/>
          <w:bCs/>
          <w:szCs w:val="22"/>
          <w:lang w:val="en-US" w:eastAsia="zh-CN"/>
        </w:rPr>
        <w:t>1</w:t>
      </w:r>
      <w:r>
        <w:rPr>
          <w:rFonts w:ascii="Times New Roman" w:hAnsi="Times New Roman" w:cs="Times New Roman" w:eastAsiaTheme="minorEastAsia"/>
          <w:b/>
          <w:bCs/>
          <w:szCs w:val="22"/>
        </w:rPr>
        <w:t xml:space="preserve">: </w:t>
      </w:r>
      <w:r>
        <w:rPr>
          <w:rFonts w:hint="eastAsia" w:ascii="Times New Roman" w:hAnsi="Times New Roman" w:cs="Times New Roman" w:eastAsiaTheme="minorEastAsia"/>
          <w:b/>
          <w:bCs/>
          <w:szCs w:val="22"/>
          <w:lang w:val="en-US" w:eastAsia="zh-CN"/>
        </w:rPr>
        <w:t xml:space="preserve">RAN2 to discuss the design of </w:t>
      </w:r>
      <w:r>
        <w:rPr>
          <w:rFonts w:hint="eastAsia" w:cs="Times New Roman" w:eastAsiaTheme="minorEastAsia"/>
          <w:b/>
          <w:bCs/>
          <w:szCs w:val="22"/>
          <w:lang w:val="en-US" w:eastAsia="zh-CN"/>
        </w:rPr>
        <w:t xml:space="preserve">the </w:t>
      </w:r>
      <w:r>
        <w:rPr>
          <w:rFonts w:hint="eastAsia" w:ascii="Times New Roman" w:hAnsi="Times New Roman" w:cs="Times New Roman" w:eastAsiaTheme="minorEastAsia"/>
          <w:b/>
          <w:bCs/>
          <w:szCs w:val="22"/>
          <w:lang w:val="en-US" w:eastAsia="zh-CN"/>
        </w:rPr>
        <w:t>LP-WUS subgrouping method. Whether using the existing methods or a new method need</w:t>
      </w:r>
      <w:r>
        <w:rPr>
          <w:rFonts w:hint="eastAsia" w:cs="Times New Roman" w:eastAsiaTheme="minorEastAsia"/>
          <w:b/>
          <w:bCs/>
          <w:szCs w:val="22"/>
          <w:lang w:val="en-US" w:eastAsia="zh-CN"/>
        </w:rPr>
        <w:t>s</w:t>
      </w:r>
      <w:r>
        <w:rPr>
          <w:rFonts w:hint="eastAsia" w:ascii="Times New Roman" w:hAnsi="Times New Roman" w:cs="Times New Roman" w:eastAsiaTheme="minorEastAsia"/>
          <w:b/>
          <w:bCs/>
          <w:szCs w:val="22"/>
          <w:lang w:val="en-US" w:eastAsia="zh-CN"/>
        </w:rPr>
        <w:t xml:space="preserve"> to be further discussed.</w:t>
      </w:r>
    </w:p>
    <w:p>
      <w:pPr>
        <w:spacing w:line="240" w:lineRule="auto"/>
        <w:rPr>
          <w:rFonts w:hint="default" w:eastAsiaTheme="minorEastAsia"/>
          <w:b/>
          <w:bCs/>
          <w:szCs w:val="22"/>
          <w:lang w:val="en-US" w:eastAsia="zh-CN"/>
        </w:rPr>
      </w:pPr>
      <w:r>
        <w:rPr>
          <w:rFonts w:hint="eastAsia" w:eastAsiaTheme="minorEastAsia"/>
          <w:b/>
          <w:bCs/>
          <w:szCs w:val="22"/>
        </w:rPr>
        <w:t>P</w:t>
      </w:r>
      <w:r>
        <w:rPr>
          <w:rFonts w:eastAsiaTheme="minorEastAsia"/>
          <w:b/>
          <w:bCs/>
          <w:szCs w:val="22"/>
        </w:rPr>
        <w:t xml:space="preserve">roposal </w:t>
      </w:r>
      <w:r>
        <w:rPr>
          <w:rFonts w:hint="eastAsia" w:eastAsiaTheme="minorEastAsia"/>
          <w:b/>
          <w:bCs/>
          <w:szCs w:val="22"/>
          <w:lang w:val="en-US" w:eastAsia="zh-CN"/>
        </w:rPr>
        <w:t>2</w:t>
      </w:r>
      <w:r>
        <w:rPr>
          <w:rFonts w:eastAsiaTheme="minorEastAsia"/>
          <w:b/>
          <w:bCs/>
          <w:szCs w:val="22"/>
        </w:rPr>
        <w:t xml:space="preserve">: RAN2 aim to design UE-ID based subgrouping </w:t>
      </w:r>
      <w:r>
        <w:rPr>
          <w:rFonts w:hint="eastAsia" w:eastAsiaTheme="minorEastAsia"/>
          <w:b/>
          <w:bCs/>
          <w:szCs w:val="22"/>
          <w:lang w:val="en-US" w:eastAsia="zh-CN"/>
        </w:rPr>
        <w:t>of LP-WUS coexisted with PEI.</w:t>
      </w:r>
    </w:p>
    <w:p>
      <w:pPr>
        <w:spacing w:line="240" w:lineRule="auto"/>
        <w:rPr>
          <w:rFonts w:hint="eastAsia" w:eastAsiaTheme="minorEastAsia"/>
          <w:b/>
          <w:bCs/>
          <w:szCs w:val="22"/>
          <w:lang w:val="en-US" w:eastAsia="zh-CN"/>
        </w:rPr>
      </w:pPr>
      <w:r>
        <w:rPr>
          <w:rFonts w:hint="eastAsia" w:eastAsiaTheme="minorEastAsia"/>
          <w:b/>
          <w:bCs/>
          <w:szCs w:val="22"/>
        </w:rPr>
        <w:t>P</w:t>
      </w:r>
      <w:r>
        <w:rPr>
          <w:rFonts w:eastAsiaTheme="minorEastAsia"/>
          <w:b/>
          <w:bCs/>
          <w:szCs w:val="22"/>
        </w:rPr>
        <w:t xml:space="preserve">roposal </w:t>
      </w:r>
      <w:r>
        <w:rPr>
          <w:rFonts w:hint="eastAsia" w:eastAsiaTheme="minorEastAsia"/>
          <w:b/>
          <w:bCs/>
          <w:szCs w:val="22"/>
          <w:lang w:val="en-US" w:eastAsia="zh-CN"/>
        </w:rPr>
        <w:t>3</w:t>
      </w:r>
      <w:r>
        <w:rPr>
          <w:rFonts w:eastAsiaTheme="minorEastAsia"/>
          <w:b/>
          <w:bCs/>
          <w:szCs w:val="22"/>
        </w:rPr>
        <w:t xml:space="preserve">: </w:t>
      </w:r>
      <w:r>
        <w:rPr>
          <w:rFonts w:hint="eastAsia" w:eastAsiaTheme="minorEastAsia"/>
          <w:b/>
          <w:bCs/>
          <w:szCs w:val="22"/>
          <w:lang w:val="en-US" w:eastAsia="zh-CN"/>
        </w:rPr>
        <w:t>It</w:t>
      </w:r>
      <w:r>
        <w:rPr>
          <w:rFonts w:hint="default" w:eastAsiaTheme="minorEastAsia"/>
          <w:b/>
          <w:bCs/>
          <w:szCs w:val="22"/>
          <w:lang w:val="en-US" w:eastAsia="zh-CN"/>
        </w:rPr>
        <w:t>’</w:t>
      </w:r>
      <w:r>
        <w:rPr>
          <w:rFonts w:hint="eastAsia" w:eastAsiaTheme="minorEastAsia"/>
          <w:b/>
          <w:bCs/>
          <w:szCs w:val="22"/>
          <w:lang w:val="en-US" w:eastAsia="zh-CN"/>
        </w:rPr>
        <w:t>s better to use SIB to con</w:t>
      </w:r>
      <w:bookmarkStart w:id="11" w:name="_GoBack"/>
      <w:bookmarkEnd w:id="11"/>
      <w:r>
        <w:rPr>
          <w:rFonts w:hint="eastAsia" w:eastAsiaTheme="minorEastAsia"/>
          <w:b/>
          <w:bCs/>
          <w:szCs w:val="22"/>
          <w:lang w:val="en-US" w:eastAsia="zh-CN"/>
        </w:rPr>
        <w:t>figure the entry/exit condition(s) of using LP-WUS.</w:t>
      </w:r>
    </w:p>
    <w:p>
      <w:r>
        <w:rPr>
          <w:rFonts w:hint="eastAsia" w:eastAsiaTheme="minorEastAsia"/>
          <w:b/>
          <w:bCs/>
          <w:szCs w:val="22"/>
        </w:rPr>
        <w:t>P</w:t>
      </w:r>
      <w:r>
        <w:rPr>
          <w:rFonts w:eastAsiaTheme="minorEastAsia"/>
          <w:b/>
          <w:bCs/>
          <w:szCs w:val="22"/>
        </w:rPr>
        <w:t xml:space="preserve">roposal </w:t>
      </w:r>
      <w:r>
        <w:rPr>
          <w:rFonts w:hint="eastAsia" w:eastAsiaTheme="minorEastAsia"/>
          <w:b/>
          <w:bCs/>
          <w:szCs w:val="22"/>
          <w:lang w:val="en-US" w:eastAsia="zh-CN"/>
        </w:rPr>
        <w:t>4</w:t>
      </w:r>
      <w:r>
        <w:rPr>
          <w:rFonts w:eastAsiaTheme="minorEastAsia"/>
          <w:b/>
          <w:bCs/>
          <w:szCs w:val="22"/>
        </w:rPr>
        <w:t xml:space="preserve">: </w:t>
      </w:r>
      <w:r>
        <w:rPr>
          <w:rFonts w:hint="eastAsia" w:eastAsiaTheme="minorEastAsia"/>
          <w:b/>
          <w:bCs/>
          <w:szCs w:val="22"/>
          <w:lang w:val="en-US" w:eastAsia="zh-CN"/>
        </w:rPr>
        <w:t>RAN2 to further determine the entry/exit conditions of using LP-WUS based on the SI</w:t>
      </w:r>
      <w:r>
        <w:rPr>
          <w:rFonts w:hint="default" w:eastAsiaTheme="minorEastAsia"/>
          <w:b/>
          <w:bCs/>
          <w:szCs w:val="22"/>
          <w:lang w:val="en-US" w:eastAsia="zh-CN"/>
        </w:rPr>
        <w:t>’</w:t>
      </w:r>
      <w:r>
        <w:rPr>
          <w:rFonts w:hint="eastAsia" w:eastAsiaTheme="minorEastAsia"/>
          <w:b/>
          <w:bCs/>
          <w:szCs w:val="22"/>
          <w:lang w:val="en-US" w:eastAsia="zh-CN"/>
        </w:rPr>
        <w:t>s agreements.</w:t>
      </w:r>
    </w:p>
    <w:p>
      <w:pPr>
        <w:pStyle w:val="2"/>
        <w:keepLines/>
        <w:numPr>
          <w:ilvl w:val="0"/>
          <w:numId w:val="4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>
        <w:rPr>
          <w:rFonts w:hint="eastAsia"/>
        </w:rPr>
        <w:t>References</w:t>
      </w:r>
    </w:p>
    <w:p>
      <w:pPr>
        <w:pStyle w:val="39"/>
        <w:rPr>
          <w:rFonts w:ascii="Times New Roman" w:hAnsi="Times New Roman" w:eastAsia="宋体"/>
          <w:kern w:val="0"/>
          <w:sz w:val="22"/>
          <w:szCs w:val="20"/>
        </w:rPr>
      </w:pPr>
      <w:r>
        <w:rPr>
          <w:rFonts w:ascii="Times New Roman" w:hAnsi="Times New Roman" w:eastAsia="宋体"/>
          <w:kern w:val="0"/>
          <w:sz w:val="22"/>
          <w:szCs w:val="20"/>
        </w:rPr>
        <w:t>RP-234056, New WID: Low-power wake-up signal and receiver for NR (LP-WUS/WUR).</w:t>
      </w:r>
    </w:p>
    <w:sectPr>
      <w:headerReference r:id="rId6" w:type="first"/>
      <w:footerReference r:id="rId8" w:type="first"/>
      <w:headerReference r:id="rId5" w:type="even"/>
      <w:footerReference r:id="rId7" w:type="even"/>
      <w:pgSz w:w="11906" w:h="16838"/>
      <w:pgMar w:top="1312" w:right="1133" w:bottom="1440" w:left="1134" w:header="779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00" w:lineRule="auto"/>
      </w:pPr>
      <w:r>
        <w:separator/>
      </w:r>
    </w:p>
  </w:footnote>
  <w:footnote w:type="continuationSeparator" w:id="1">
    <w:p>
      <w:pPr>
        <w:spacing w:before="0" w:after="0" w:line="30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84ADF3"/>
    <w:multiLevelType w:val="multilevel"/>
    <w:tmpl w:val="C084ADF3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/>
      </w:rPr>
    </w:lvl>
    <w:lvl w:ilvl="1" w:tentative="0">
      <w:start w:val="0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 w:cs="Arial"/>
      </w:rPr>
    </w:lvl>
    <w:lvl w:ilvl="2" w:tentative="0">
      <w:start w:val="0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 w:cs="Arial"/>
      </w:rPr>
    </w:lvl>
    <w:lvl w:ilvl="3" w:tentative="0">
      <w:start w:val="0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 w:cs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 w:cs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 w:cs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 w:cs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 w:cs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 w:cs="Arial"/>
      </w:rPr>
    </w:lvl>
  </w:abstractNum>
  <w:abstractNum w:abstractNumId="1">
    <w:nsid w:val="42FE570A"/>
    <w:multiLevelType w:val="multilevel"/>
    <w:tmpl w:val="42FE570A"/>
    <w:lvl w:ilvl="0" w:tentative="0">
      <w:start w:val="1"/>
      <w:numFmt w:val="decimal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</w:rPr>
    </w:lvl>
    <w:lvl w:ilvl="1" w:tentative="0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 w:ascii="Arial" w:hAnsi="Arial"/>
        <w:b w:val="0"/>
        <w:i w:val="0"/>
        <w:sz w:val="30"/>
        <w:szCs w:val="30"/>
      </w:rPr>
    </w:lvl>
    <w:lvl w:ilvl="2" w:tentative="0">
      <w:start w:val="1"/>
      <w:numFmt w:val="decimal"/>
      <w:suff w:val="nothing"/>
      <w:lvlText w:val="%1.%2.%3  "/>
      <w:lvlJc w:val="left"/>
      <w:pPr>
        <w:ind w:left="0" w:firstLine="0"/>
      </w:pPr>
      <w:rPr>
        <w:rFonts w:hint="default" w:ascii="Arial" w:hAnsi="Arial"/>
        <w:b w:val="0"/>
        <w:i w:val="0"/>
        <w:sz w:val="24"/>
        <w:szCs w:val="24"/>
      </w:rPr>
    </w:lvl>
    <w:lvl w:ilvl="3" w:tentative="0">
      <w:start w:val="1"/>
      <w:numFmt w:val="decimal"/>
      <w:suff w:val="nothing"/>
      <w:lvlText w:val="%1.%2.%3.%4  "/>
      <w:lvlJc w:val="left"/>
      <w:pPr>
        <w:ind w:left="0" w:firstLine="0"/>
      </w:pPr>
      <w:rPr>
        <w:rFonts w:hint="default" w:ascii="Arial" w:hAnsi="Arial"/>
        <w:b w:val="0"/>
        <w:i w:val="0"/>
        <w:sz w:val="21"/>
        <w:szCs w:val="21"/>
      </w:rPr>
    </w:lvl>
    <w:lvl w:ilvl="4" w:tentative="0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hint="default" w:ascii="Arial" w:hAnsi="Arial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pStyle w:val="23"/>
      <w:suff w:val="space"/>
      <w:lvlText w:val="图%8"/>
      <w:lvlJc w:val="center"/>
      <w:pPr>
        <w:ind w:left="0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pStyle w:val="19"/>
      <w:suff w:val="space"/>
      <w:lvlText w:val="表%9"/>
      <w:lvlJc w:val="center"/>
      <w:pPr>
        <w:ind w:left="0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2">
    <w:nsid w:val="4BDF65F6"/>
    <w:multiLevelType w:val="multilevel"/>
    <w:tmpl w:val="4BDF65F6"/>
    <w:lvl w:ilvl="0" w:tentative="0">
      <w:start w:val="1"/>
      <w:numFmt w:val="decimal"/>
      <w:pStyle w:val="39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571E504D"/>
    <w:multiLevelType w:val="multilevel"/>
    <w:tmpl w:val="571E504D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3546429"/>
    <w:multiLevelType w:val="multilevel"/>
    <w:tmpl w:val="63546429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567"/>
        </w:tabs>
        <w:ind w:left="936" w:hanging="680"/>
      </w:pPr>
      <w:rPr>
        <w:rFonts w:hint="eastAsia"/>
      </w:rPr>
    </w:lvl>
    <w:lvl w:ilvl="4" w:tentative="0">
      <w:start w:val="1"/>
      <w:numFmt w:val="decimal"/>
      <w:lvlText w:val="%5）"/>
      <w:lvlJc w:val="left"/>
      <w:pPr>
        <w:tabs>
          <w:tab w:val="left" w:pos="567"/>
        </w:tabs>
        <w:ind w:left="936" w:hanging="680"/>
      </w:pPr>
      <w:rPr>
        <w:rFonts w:hint="eastAsia"/>
      </w:rPr>
    </w:lvl>
    <w:lvl w:ilvl="5" w:tentative="0">
      <w:start w:val="1"/>
      <w:numFmt w:val="lowerLetter"/>
      <w:lvlText w:val="%6）"/>
      <w:lvlJc w:val="left"/>
      <w:pPr>
        <w:tabs>
          <w:tab w:val="left" w:pos="567"/>
        </w:tabs>
        <w:ind w:left="936" w:hanging="680"/>
      </w:pPr>
      <w:rPr>
        <w:rFonts w:hint="eastAsia"/>
      </w:rPr>
    </w:lvl>
    <w:lvl w:ilvl="6" w:tentative="0">
      <w:start w:val="1"/>
      <w:numFmt w:val="lowerRoman"/>
      <w:lvlText w:val="%7"/>
      <w:lvlJc w:val="left"/>
      <w:pPr>
        <w:tabs>
          <w:tab w:val="left" w:pos="567"/>
        </w:tabs>
        <w:ind w:left="936" w:hanging="68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7A710F62"/>
    <w:multiLevelType w:val="multilevel"/>
    <w:tmpl w:val="7A710F62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pStyle w:val="41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2BA"/>
    <w:rsid w:val="00001F98"/>
    <w:rsid w:val="00005D3B"/>
    <w:rsid w:val="000075DA"/>
    <w:rsid w:val="000306BB"/>
    <w:rsid w:val="00031DF9"/>
    <w:rsid w:val="00032900"/>
    <w:rsid w:val="00035469"/>
    <w:rsid w:val="0004070B"/>
    <w:rsid w:val="00056374"/>
    <w:rsid w:val="00056D18"/>
    <w:rsid w:val="00061B39"/>
    <w:rsid w:val="00062DAA"/>
    <w:rsid w:val="00070911"/>
    <w:rsid w:val="0007342E"/>
    <w:rsid w:val="00074860"/>
    <w:rsid w:val="000835BC"/>
    <w:rsid w:val="00083827"/>
    <w:rsid w:val="0008441A"/>
    <w:rsid w:val="00091CF8"/>
    <w:rsid w:val="00091E9D"/>
    <w:rsid w:val="000924E1"/>
    <w:rsid w:val="00092C1A"/>
    <w:rsid w:val="00094673"/>
    <w:rsid w:val="00097A25"/>
    <w:rsid w:val="000A1DBF"/>
    <w:rsid w:val="000A7428"/>
    <w:rsid w:val="000B37EB"/>
    <w:rsid w:val="000B6189"/>
    <w:rsid w:val="000B667E"/>
    <w:rsid w:val="000C2DB1"/>
    <w:rsid w:val="000C78AE"/>
    <w:rsid w:val="000D3560"/>
    <w:rsid w:val="000D5F49"/>
    <w:rsid w:val="000F755F"/>
    <w:rsid w:val="00111293"/>
    <w:rsid w:val="0011713F"/>
    <w:rsid w:val="0012175A"/>
    <w:rsid w:val="00124EA6"/>
    <w:rsid w:val="00125A6D"/>
    <w:rsid w:val="00126F7D"/>
    <w:rsid w:val="001377B5"/>
    <w:rsid w:val="001413E3"/>
    <w:rsid w:val="00142D84"/>
    <w:rsid w:val="001464F7"/>
    <w:rsid w:val="00150E17"/>
    <w:rsid w:val="00152986"/>
    <w:rsid w:val="00152B8F"/>
    <w:rsid w:val="001573B9"/>
    <w:rsid w:val="00162F8E"/>
    <w:rsid w:val="0016385A"/>
    <w:rsid w:val="00166684"/>
    <w:rsid w:val="001678EA"/>
    <w:rsid w:val="0018187A"/>
    <w:rsid w:val="00182E6F"/>
    <w:rsid w:val="0019641C"/>
    <w:rsid w:val="001A375E"/>
    <w:rsid w:val="001B3CDF"/>
    <w:rsid w:val="001D3CBB"/>
    <w:rsid w:val="001D6BD2"/>
    <w:rsid w:val="001E647D"/>
    <w:rsid w:val="001E7184"/>
    <w:rsid w:val="001F31D1"/>
    <w:rsid w:val="001F3A7D"/>
    <w:rsid w:val="001F411A"/>
    <w:rsid w:val="001F685C"/>
    <w:rsid w:val="00201411"/>
    <w:rsid w:val="002042E3"/>
    <w:rsid w:val="00206EF1"/>
    <w:rsid w:val="002106B1"/>
    <w:rsid w:val="00212C6A"/>
    <w:rsid w:val="00213C01"/>
    <w:rsid w:val="00220566"/>
    <w:rsid w:val="0022514C"/>
    <w:rsid w:val="002339D4"/>
    <w:rsid w:val="002348D7"/>
    <w:rsid w:val="002357EF"/>
    <w:rsid w:val="00237F40"/>
    <w:rsid w:val="00240964"/>
    <w:rsid w:val="002434A6"/>
    <w:rsid w:val="002535B4"/>
    <w:rsid w:val="0025674E"/>
    <w:rsid w:val="00257653"/>
    <w:rsid w:val="00257B59"/>
    <w:rsid w:val="0026693D"/>
    <w:rsid w:val="00266C6F"/>
    <w:rsid w:val="00270EE1"/>
    <w:rsid w:val="00281E0D"/>
    <w:rsid w:val="00287697"/>
    <w:rsid w:val="00292F37"/>
    <w:rsid w:val="00295AA4"/>
    <w:rsid w:val="00297EEA"/>
    <w:rsid w:val="002A0EF4"/>
    <w:rsid w:val="002A3C41"/>
    <w:rsid w:val="002B5616"/>
    <w:rsid w:val="002B6534"/>
    <w:rsid w:val="002B68C5"/>
    <w:rsid w:val="002B79D1"/>
    <w:rsid w:val="002C5E30"/>
    <w:rsid w:val="002D0D93"/>
    <w:rsid w:val="002D1932"/>
    <w:rsid w:val="002D499E"/>
    <w:rsid w:val="002D6105"/>
    <w:rsid w:val="002F0167"/>
    <w:rsid w:val="002F066C"/>
    <w:rsid w:val="002F1163"/>
    <w:rsid w:val="002F1DA3"/>
    <w:rsid w:val="0030477B"/>
    <w:rsid w:val="003053E1"/>
    <w:rsid w:val="003055E4"/>
    <w:rsid w:val="00307760"/>
    <w:rsid w:val="00310F36"/>
    <w:rsid w:val="0032022F"/>
    <w:rsid w:val="003211BE"/>
    <w:rsid w:val="00321839"/>
    <w:rsid w:val="00322719"/>
    <w:rsid w:val="00326101"/>
    <w:rsid w:val="00330B1B"/>
    <w:rsid w:val="003310D3"/>
    <w:rsid w:val="00336C01"/>
    <w:rsid w:val="00342B0D"/>
    <w:rsid w:val="00343E55"/>
    <w:rsid w:val="00347B07"/>
    <w:rsid w:val="00351872"/>
    <w:rsid w:val="003565E6"/>
    <w:rsid w:val="00362C05"/>
    <w:rsid w:val="00362C9B"/>
    <w:rsid w:val="00365AC4"/>
    <w:rsid w:val="00366D30"/>
    <w:rsid w:val="00380A8F"/>
    <w:rsid w:val="00384B3B"/>
    <w:rsid w:val="00385900"/>
    <w:rsid w:val="00386DA1"/>
    <w:rsid w:val="0039615F"/>
    <w:rsid w:val="003A1D28"/>
    <w:rsid w:val="003A29D2"/>
    <w:rsid w:val="003B48F5"/>
    <w:rsid w:val="003B5022"/>
    <w:rsid w:val="003B7468"/>
    <w:rsid w:val="003C27D3"/>
    <w:rsid w:val="003C2F6A"/>
    <w:rsid w:val="003C42D8"/>
    <w:rsid w:val="003C4EA3"/>
    <w:rsid w:val="003C54F7"/>
    <w:rsid w:val="003C6C21"/>
    <w:rsid w:val="003C74F8"/>
    <w:rsid w:val="003D31CD"/>
    <w:rsid w:val="003D40AE"/>
    <w:rsid w:val="003E0C47"/>
    <w:rsid w:val="003E1228"/>
    <w:rsid w:val="003F066D"/>
    <w:rsid w:val="003F07F5"/>
    <w:rsid w:val="00411894"/>
    <w:rsid w:val="00412E08"/>
    <w:rsid w:val="00414EDA"/>
    <w:rsid w:val="00415013"/>
    <w:rsid w:val="00417AD1"/>
    <w:rsid w:val="00420B97"/>
    <w:rsid w:val="00423AA1"/>
    <w:rsid w:val="00425F62"/>
    <w:rsid w:val="00426368"/>
    <w:rsid w:val="00426415"/>
    <w:rsid w:val="00430FE0"/>
    <w:rsid w:val="004359D3"/>
    <w:rsid w:val="00436227"/>
    <w:rsid w:val="00436C04"/>
    <w:rsid w:val="004416DA"/>
    <w:rsid w:val="00444BE1"/>
    <w:rsid w:val="00445D30"/>
    <w:rsid w:val="0045430E"/>
    <w:rsid w:val="00454AAD"/>
    <w:rsid w:val="004617B8"/>
    <w:rsid w:val="004618B5"/>
    <w:rsid w:val="0046501E"/>
    <w:rsid w:val="00466C54"/>
    <w:rsid w:val="00473CD7"/>
    <w:rsid w:val="0047585D"/>
    <w:rsid w:val="004762B8"/>
    <w:rsid w:val="004809D6"/>
    <w:rsid w:val="00480CC5"/>
    <w:rsid w:val="00481B3E"/>
    <w:rsid w:val="004833FF"/>
    <w:rsid w:val="00484B70"/>
    <w:rsid w:val="00487EFB"/>
    <w:rsid w:val="00490030"/>
    <w:rsid w:val="0049043E"/>
    <w:rsid w:val="00495BA3"/>
    <w:rsid w:val="00496347"/>
    <w:rsid w:val="00496730"/>
    <w:rsid w:val="004A0AC3"/>
    <w:rsid w:val="004A1987"/>
    <w:rsid w:val="004A782E"/>
    <w:rsid w:val="004B2E2A"/>
    <w:rsid w:val="004C76C7"/>
    <w:rsid w:val="004D6674"/>
    <w:rsid w:val="004E12CF"/>
    <w:rsid w:val="004E45CA"/>
    <w:rsid w:val="004F0A0E"/>
    <w:rsid w:val="004F1E08"/>
    <w:rsid w:val="004F4E99"/>
    <w:rsid w:val="004F5149"/>
    <w:rsid w:val="004F5D86"/>
    <w:rsid w:val="004F6E96"/>
    <w:rsid w:val="00500576"/>
    <w:rsid w:val="00505B54"/>
    <w:rsid w:val="00506DCF"/>
    <w:rsid w:val="00520E8A"/>
    <w:rsid w:val="0052233A"/>
    <w:rsid w:val="00522F78"/>
    <w:rsid w:val="00523189"/>
    <w:rsid w:val="00524F7E"/>
    <w:rsid w:val="005255F2"/>
    <w:rsid w:val="00526778"/>
    <w:rsid w:val="00526BED"/>
    <w:rsid w:val="0053131B"/>
    <w:rsid w:val="00534911"/>
    <w:rsid w:val="005438F5"/>
    <w:rsid w:val="0054542B"/>
    <w:rsid w:val="00547EA8"/>
    <w:rsid w:val="00554F02"/>
    <w:rsid w:val="00561625"/>
    <w:rsid w:val="005713A5"/>
    <w:rsid w:val="00582735"/>
    <w:rsid w:val="00584E78"/>
    <w:rsid w:val="005907D5"/>
    <w:rsid w:val="00591C31"/>
    <w:rsid w:val="00592201"/>
    <w:rsid w:val="00593E6A"/>
    <w:rsid w:val="005A1FCF"/>
    <w:rsid w:val="005A5A56"/>
    <w:rsid w:val="005B24D1"/>
    <w:rsid w:val="005B36D9"/>
    <w:rsid w:val="005B39BF"/>
    <w:rsid w:val="005B4075"/>
    <w:rsid w:val="005D43A4"/>
    <w:rsid w:val="005D4BD7"/>
    <w:rsid w:val="005E170E"/>
    <w:rsid w:val="005E3E19"/>
    <w:rsid w:val="005E3EE9"/>
    <w:rsid w:val="005F4383"/>
    <w:rsid w:val="005F4B04"/>
    <w:rsid w:val="00601B5F"/>
    <w:rsid w:val="00613DB7"/>
    <w:rsid w:val="0062474C"/>
    <w:rsid w:val="00634265"/>
    <w:rsid w:val="00636C12"/>
    <w:rsid w:val="0065572F"/>
    <w:rsid w:val="00655F5A"/>
    <w:rsid w:val="00657271"/>
    <w:rsid w:val="0065791B"/>
    <w:rsid w:val="0067248E"/>
    <w:rsid w:val="00674057"/>
    <w:rsid w:val="0068044D"/>
    <w:rsid w:val="00686782"/>
    <w:rsid w:val="00687237"/>
    <w:rsid w:val="006A3AB4"/>
    <w:rsid w:val="006A6326"/>
    <w:rsid w:val="006B0A2A"/>
    <w:rsid w:val="006B0EC9"/>
    <w:rsid w:val="006B5FC4"/>
    <w:rsid w:val="006C3E4A"/>
    <w:rsid w:val="006D2D25"/>
    <w:rsid w:val="006D5CA0"/>
    <w:rsid w:val="006D7E82"/>
    <w:rsid w:val="006E6CD7"/>
    <w:rsid w:val="006F2B39"/>
    <w:rsid w:val="006F4563"/>
    <w:rsid w:val="006F6908"/>
    <w:rsid w:val="007013FA"/>
    <w:rsid w:val="00701AB9"/>
    <w:rsid w:val="007051C5"/>
    <w:rsid w:val="00706729"/>
    <w:rsid w:val="00707473"/>
    <w:rsid w:val="007162BA"/>
    <w:rsid w:val="007231D9"/>
    <w:rsid w:val="0072343F"/>
    <w:rsid w:val="00723B1E"/>
    <w:rsid w:val="0072663D"/>
    <w:rsid w:val="00733D82"/>
    <w:rsid w:val="00737294"/>
    <w:rsid w:val="00740C16"/>
    <w:rsid w:val="007418C5"/>
    <w:rsid w:val="00744D59"/>
    <w:rsid w:val="00745516"/>
    <w:rsid w:val="0074679E"/>
    <w:rsid w:val="00747009"/>
    <w:rsid w:val="0075012D"/>
    <w:rsid w:val="007513E5"/>
    <w:rsid w:val="00762C85"/>
    <w:rsid w:val="00762D5C"/>
    <w:rsid w:val="00763A35"/>
    <w:rsid w:val="00763B37"/>
    <w:rsid w:val="00763BEB"/>
    <w:rsid w:val="00765FBB"/>
    <w:rsid w:val="00772B8E"/>
    <w:rsid w:val="007738AF"/>
    <w:rsid w:val="00775BB5"/>
    <w:rsid w:val="00777B42"/>
    <w:rsid w:val="00780144"/>
    <w:rsid w:val="007813DD"/>
    <w:rsid w:val="007907E2"/>
    <w:rsid w:val="007909F4"/>
    <w:rsid w:val="00792F79"/>
    <w:rsid w:val="00794E57"/>
    <w:rsid w:val="007A142D"/>
    <w:rsid w:val="007A2D4B"/>
    <w:rsid w:val="007A6695"/>
    <w:rsid w:val="007B1D23"/>
    <w:rsid w:val="007B2E92"/>
    <w:rsid w:val="007C2970"/>
    <w:rsid w:val="007C6F0B"/>
    <w:rsid w:val="007E1E0B"/>
    <w:rsid w:val="007E2EF5"/>
    <w:rsid w:val="007F133C"/>
    <w:rsid w:val="007F6610"/>
    <w:rsid w:val="007F6B62"/>
    <w:rsid w:val="0080182F"/>
    <w:rsid w:val="00803052"/>
    <w:rsid w:val="00811829"/>
    <w:rsid w:val="008145DC"/>
    <w:rsid w:val="00815559"/>
    <w:rsid w:val="00820475"/>
    <w:rsid w:val="00822D21"/>
    <w:rsid w:val="00823D15"/>
    <w:rsid w:val="0082579D"/>
    <w:rsid w:val="0083018C"/>
    <w:rsid w:val="008314A3"/>
    <w:rsid w:val="0083240D"/>
    <w:rsid w:val="00834BD1"/>
    <w:rsid w:val="00836F4E"/>
    <w:rsid w:val="0083745A"/>
    <w:rsid w:val="00837F63"/>
    <w:rsid w:val="0084312B"/>
    <w:rsid w:val="00851173"/>
    <w:rsid w:val="008552A0"/>
    <w:rsid w:val="00856996"/>
    <w:rsid w:val="008570FE"/>
    <w:rsid w:val="00861D8F"/>
    <w:rsid w:val="008705F2"/>
    <w:rsid w:val="00872144"/>
    <w:rsid w:val="00887505"/>
    <w:rsid w:val="00887E2B"/>
    <w:rsid w:val="00890A04"/>
    <w:rsid w:val="00895311"/>
    <w:rsid w:val="00895440"/>
    <w:rsid w:val="0089610E"/>
    <w:rsid w:val="008A1451"/>
    <w:rsid w:val="008A5312"/>
    <w:rsid w:val="008A5A73"/>
    <w:rsid w:val="008A679A"/>
    <w:rsid w:val="008A6E01"/>
    <w:rsid w:val="008C330E"/>
    <w:rsid w:val="008D4FCB"/>
    <w:rsid w:val="008E3996"/>
    <w:rsid w:val="008E3AC1"/>
    <w:rsid w:val="008E5003"/>
    <w:rsid w:val="008F091E"/>
    <w:rsid w:val="00903607"/>
    <w:rsid w:val="0090434E"/>
    <w:rsid w:val="00904D33"/>
    <w:rsid w:val="009168E3"/>
    <w:rsid w:val="00917394"/>
    <w:rsid w:val="00922472"/>
    <w:rsid w:val="00922E5B"/>
    <w:rsid w:val="00927411"/>
    <w:rsid w:val="00932B03"/>
    <w:rsid w:val="00942425"/>
    <w:rsid w:val="0094333F"/>
    <w:rsid w:val="00946987"/>
    <w:rsid w:val="00950CAA"/>
    <w:rsid w:val="00957E7C"/>
    <w:rsid w:val="009617D3"/>
    <w:rsid w:val="009626F9"/>
    <w:rsid w:val="0096320C"/>
    <w:rsid w:val="009669E6"/>
    <w:rsid w:val="00966AA7"/>
    <w:rsid w:val="009707AF"/>
    <w:rsid w:val="009765A9"/>
    <w:rsid w:val="00980827"/>
    <w:rsid w:val="00983FAD"/>
    <w:rsid w:val="009852E6"/>
    <w:rsid w:val="00985AA0"/>
    <w:rsid w:val="00985CAB"/>
    <w:rsid w:val="00986FB2"/>
    <w:rsid w:val="00987288"/>
    <w:rsid w:val="00993342"/>
    <w:rsid w:val="0099441C"/>
    <w:rsid w:val="0099632C"/>
    <w:rsid w:val="009977CF"/>
    <w:rsid w:val="009A6328"/>
    <w:rsid w:val="009A7595"/>
    <w:rsid w:val="009B45C3"/>
    <w:rsid w:val="009B65D5"/>
    <w:rsid w:val="009B734C"/>
    <w:rsid w:val="009B79D2"/>
    <w:rsid w:val="009C2EDA"/>
    <w:rsid w:val="009C3898"/>
    <w:rsid w:val="009C4673"/>
    <w:rsid w:val="009C6148"/>
    <w:rsid w:val="009D08D2"/>
    <w:rsid w:val="009D6751"/>
    <w:rsid w:val="009D76CD"/>
    <w:rsid w:val="009E00CC"/>
    <w:rsid w:val="009E030E"/>
    <w:rsid w:val="009F0294"/>
    <w:rsid w:val="009F5215"/>
    <w:rsid w:val="00A00900"/>
    <w:rsid w:val="00A018BC"/>
    <w:rsid w:val="00A02A6C"/>
    <w:rsid w:val="00A049F3"/>
    <w:rsid w:val="00A05285"/>
    <w:rsid w:val="00A05F7B"/>
    <w:rsid w:val="00A06638"/>
    <w:rsid w:val="00A06670"/>
    <w:rsid w:val="00A14551"/>
    <w:rsid w:val="00A15DE2"/>
    <w:rsid w:val="00A16114"/>
    <w:rsid w:val="00A1698B"/>
    <w:rsid w:val="00A17C76"/>
    <w:rsid w:val="00A214BA"/>
    <w:rsid w:val="00A23752"/>
    <w:rsid w:val="00A26D99"/>
    <w:rsid w:val="00A27839"/>
    <w:rsid w:val="00A366E1"/>
    <w:rsid w:val="00A5182F"/>
    <w:rsid w:val="00A52C48"/>
    <w:rsid w:val="00A5545E"/>
    <w:rsid w:val="00A571D0"/>
    <w:rsid w:val="00A57C48"/>
    <w:rsid w:val="00A62E28"/>
    <w:rsid w:val="00A64F97"/>
    <w:rsid w:val="00A70C59"/>
    <w:rsid w:val="00A73138"/>
    <w:rsid w:val="00A747DB"/>
    <w:rsid w:val="00A76AEA"/>
    <w:rsid w:val="00A8010E"/>
    <w:rsid w:val="00A80525"/>
    <w:rsid w:val="00A83F36"/>
    <w:rsid w:val="00A94C7E"/>
    <w:rsid w:val="00AA2A96"/>
    <w:rsid w:val="00AC002F"/>
    <w:rsid w:val="00AC5BB3"/>
    <w:rsid w:val="00AC7565"/>
    <w:rsid w:val="00AD0291"/>
    <w:rsid w:val="00AD74BB"/>
    <w:rsid w:val="00AE6391"/>
    <w:rsid w:val="00AE7831"/>
    <w:rsid w:val="00AE7FA9"/>
    <w:rsid w:val="00AF207C"/>
    <w:rsid w:val="00AF3C9D"/>
    <w:rsid w:val="00AF42CF"/>
    <w:rsid w:val="00B00F79"/>
    <w:rsid w:val="00B0166E"/>
    <w:rsid w:val="00B051F3"/>
    <w:rsid w:val="00B06EF4"/>
    <w:rsid w:val="00B071A6"/>
    <w:rsid w:val="00B34792"/>
    <w:rsid w:val="00B35B28"/>
    <w:rsid w:val="00B37293"/>
    <w:rsid w:val="00B405A4"/>
    <w:rsid w:val="00B435F1"/>
    <w:rsid w:val="00B44871"/>
    <w:rsid w:val="00B523F0"/>
    <w:rsid w:val="00B5273B"/>
    <w:rsid w:val="00B5284E"/>
    <w:rsid w:val="00B57C42"/>
    <w:rsid w:val="00B61938"/>
    <w:rsid w:val="00B66820"/>
    <w:rsid w:val="00B70C8A"/>
    <w:rsid w:val="00B71F90"/>
    <w:rsid w:val="00B726E8"/>
    <w:rsid w:val="00B74733"/>
    <w:rsid w:val="00B843EA"/>
    <w:rsid w:val="00B8530C"/>
    <w:rsid w:val="00B9087B"/>
    <w:rsid w:val="00B92185"/>
    <w:rsid w:val="00B95230"/>
    <w:rsid w:val="00BA050A"/>
    <w:rsid w:val="00BA3125"/>
    <w:rsid w:val="00BB1BD6"/>
    <w:rsid w:val="00BB758F"/>
    <w:rsid w:val="00BB7ED7"/>
    <w:rsid w:val="00BC0198"/>
    <w:rsid w:val="00BC035D"/>
    <w:rsid w:val="00BC6CBA"/>
    <w:rsid w:val="00BC7611"/>
    <w:rsid w:val="00BD21E6"/>
    <w:rsid w:val="00BD2738"/>
    <w:rsid w:val="00BD3012"/>
    <w:rsid w:val="00BD6EF8"/>
    <w:rsid w:val="00BE0FF3"/>
    <w:rsid w:val="00BE44F2"/>
    <w:rsid w:val="00BE6430"/>
    <w:rsid w:val="00BE75DD"/>
    <w:rsid w:val="00BF4C3D"/>
    <w:rsid w:val="00C00032"/>
    <w:rsid w:val="00C04598"/>
    <w:rsid w:val="00C23E24"/>
    <w:rsid w:val="00C24C4A"/>
    <w:rsid w:val="00C265D2"/>
    <w:rsid w:val="00C26696"/>
    <w:rsid w:val="00C31E4C"/>
    <w:rsid w:val="00C43281"/>
    <w:rsid w:val="00C44F43"/>
    <w:rsid w:val="00C460BA"/>
    <w:rsid w:val="00C53AFA"/>
    <w:rsid w:val="00C603E7"/>
    <w:rsid w:val="00C63C2D"/>
    <w:rsid w:val="00C6617E"/>
    <w:rsid w:val="00C71B6C"/>
    <w:rsid w:val="00C725AD"/>
    <w:rsid w:val="00C770E8"/>
    <w:rsid w:val="00C80C78"/>
    <w:rsid w:val="00C86EB6"/>
    <w:rsid w:val="00C8790A"/>
    <w:rsid w:val="00C910CC"/>
    <w:rsid w:val="00C9763B"/>
    <w:rsid w:val="00CA4761"/>
    <w:rsid w:val="00CA4934"/>
    <w:rsid w:val="00CA7779"/>
    <w:rsid w:val="00CB30EE"/>
    <w:rsid w:val="00CC4F4A"/>
    <w:rsid w:val="00CC55F7"/>
    <w:rsid w:val="00CD2D08"/>
    <w:rsid w:val="00CE43BA"/>
    <w:rsid w:val="00CE4CD5"/>
    <w:rsid w:val="00CF2A31"/>
    <w:rsid w:val="00CF3E96"/>
    <w:rsid w:val="00CF3EA6"/>
    <w:rsid w:val="00CF4202"/>
    <w:rsid w:val="00CF73C7"/>
    <w:rsid w:val="00D044EF"/>
    <w:rsid w:val="00D10B97"/>
    <w:rsid w:val="00D12AC8"/>
    <w:rsid w:val="00D16C4C"/>
    <w:rsid w:val="00D16E0C"/>
    <w:rsid w:val="00D24313"/>
    <w:rsid w:val="00D24689"/>
    <w:rsid w:val="00D24AC7"/>
    <w:rsid w:val="00D36A8D"/>
    <w:rsid w:val="00D37613"/>
    <w:rsid w:val="00D4050F"/>
    <w:rsid w:val="00D40786"/>
    <w:rsid w:val="00D4358A"/>
    <w:rsid w:val="00D45049"/>
    <w:rsid w:val="00D5462D"/>
    <w:rsid w:val="00D54E76"/>
    <w:rsid w:val="00D5563D"/>
    <w:rsid w:val="00D626D0"/>
    <w:rsid w:val="00D646B0"/>
    <w:rsid w:val="00D65131"/>
    <w:rsid w:val="00D65DCD"/>
    <w:rsid w:val="00D732CD"/>
    <w:rsid w:val="00D750F4"/>
    <w:rsid w:val="00D84F2B"/>
    <w:rsid w:val="00D85AD3"/>
    <w:rsid w:val="00D87114"/>
    <w:rsid w:val="00D92300"/>
    <w:rsid w:val="00D95237"/>
    <w:rsid w:val="00D96A8B"/>
    <w:rsid w:val="00DB2892"/>
    <w:rsid w:val="00DB5E7F"/>
    <w:rsid w:val="00DC3AA1"/>
    <w:rsid w:val="00DD2575"/>
    <w:rsid w:val="00DD34A2"/>
    <w:rsid w:val="00DD5FEC"/>
    <w:rsid w:val="00DE2245"/>
    <w:rsid w:val="00DE28CB"/>
    <w:rsid w:val="00DE40AC"/>
    <w:rsid w:val="00DE4A45"/>
    <w:rsid w:val="00DF0962"/>
    <w:rsid w:val="00DF2369"/>
    <w:rsid w:val="00DF30D6"/>
    <w:rsid w:val="00E121A3"/>
    <w:rsid w:val="00E14E71"/>
    <w:rsid w:val="00E17609"/>
    <w:rsid w:val="00E32376"/>
    <w:rsid w:val="00E34163"/>
    <w:rsid w:val="00E35D77"/>
    <w:rsid w:val="00E404E3"/>
    <w:rsid w:val="00E44A54"/>
    <w:rsid w:val="00E50530"/>
    <w:rsid w:val="00E51EBD"/>
    <w:rsid w:val="00E53F30"/>
    <w:rsid w:val="00E54021"/>
    <w:rsid w:val="00E54536"/>
    <w:rsid w:val="00E63208"/>
    <w:rsid w:val="00E644D5"/>
    <w:rsid w:val="00E71ADA"/>
    <w:rsid w:val="00E741FB"/>
    <w:rsid w:val="00E77482"/>
    <w:rsid w:val="00E870F7"/>
    <w:rsid w:val="00E90B38"/>
    <w:rsid w:val="00E940FE"/>
    <w:rsid w:val="00E97CAF"/>
    <w:rsid w:val="00EA5609"/>
    <w:rsid w:val="00EB2427"/>
    <w:rsid w:val="00EC0A02"/>
    <w:rsid w:val="00EC2450"/>
    <w:rsid w:val="00EC3E78"/>
    <w:rsid w:val="00EC68D5"/>
    <w:rsid w:val="00ED7E76"/>
    <w:rsid w:val="00EE2438"/>
    <w:rsid w:val="00EE58DB"/>
    <w:rsid w:val="00EE7796"/>
    <w:rsid w:val="00EF0FA5"/>
    <w:rsid w:val="00EF1FDD"/>
    <w:rsid w:val="00EF71B4"/>
    <w:rsid w:val="00F00E8C"/>
    <w:rsid w:val="00F07B02"/>
    <w:rsid w:val="00F16859"/>
    <w:rsid w:val="00F207A4"/>
    <w:rsid w:val="00F253D7"/>
    <w:rsid w:val="00F30E26"/>
    <w:rsid w:val="00F332EF"/>
    <w:rsid w:val="00F35523"/>
    <w:rsid w:val="00F37705"/>
    <w:rsid w:val="00F37F6E"/>
    <w:rsid w:val="00F440B7"/>
    <w:rsid w:val="00F46080"/>
    <w:rsid w:val="00F52FDC"/>
    <w:rsid w:val="00F54463"/>
    <w:rsid w:val="00F54A3B"/>
    <w:rsid w:val="00F6182A"/>
    <w:rsid w:val="00F61C19"/>
    <w:rsid w:val="00F6348C"/>
    <w:rsid w:val="00F640BD"/>
    <w:rsid w:val="00F738F5"/>
    <w:rsid w:val="00F73F25"/>
    <w:rsid w:val="00F762C9"/>
    <w:rsid w:val="00F77A14"/>
    <w:rsid w:val="00F80673"/>
    <w:rsid w:val="00F8590B"/>
    <w:rsid w:val="00F91D6B"/>
    <w:rsid w:val="00F93410"/>
    <w:rsid w:val="00FA070B"/>
    <w:rsid w:val="00FB12BF"/>
    <w:rsid w:val="00FB38E3"/>
    <w:rsid w:val="00FB4CCE"/>
    <w:rsid w:val="00FC1C9E"/>
    <w:rsid w:val="00FC3B65"/>
    <w:rsid w:val="00FD44A9"/>
    <w:rsid w:val="00FD52B5"/>
    <w:rsid w:val="00FD6EEA"/>
    <w:rsid w:val="00FE22A7"/>
    <w:rsid w:val="00FE685F"/>
    <w:rsid w:val="00FE750B"/>
    <w:rsid w:val="00FF0B5D"/>
    <w:rsid w:val="00FF0E67"/>
    <w:rsid w:val="00FF5E1E"/>
    <w:rsid w:val="00FF75E4"/>
    <w:rsid w:val="00FF77C6"/>
    <w:rsid w:val="014C132E"/>
    <w:rsid w:val="017117FD"/>
    <w:rsid w:val="023512AC"/>
    <w:rsid w:val="025816D0"/>
    <w:rsid w:val="031B37D4"/>
    <w:rsid w:val="03C85BD1"/>
    <w:rsid w:val="058B1DED"/>
    <w:rsid w:val="076E6040"/>
    <w:rsid w:val="0AC0344D"/>
    <w:rsid w:val="0D475DD6"/>
    <w:rsid w:val="0D591574"/>
    <w:rsid w:val="0EB25028"/>
    <w:rsid w:val="127F69EA"/>
    <w:rsid w:val="12F41825"/>
    <w:rsid w:val="16445414"/>
    <w:rsid w:val="1D1F3AD3"/>
    <w:rsid w:val="1F9C23E0"/>
    <w:rsid w:val="202408C8"/>
    <w:rsid w:val="23DA1C5E"/>
    <w:rsid w:val="249C1D1C"/>
    <w:rsid w:val="27CD08D9"/>
    <w:rsid w:val="2D8F740B"/>
    <w:rsid w:val="2E222658"/>
    <w:rsid w:val="2EBA0FB6"/>
    <w:rsid w:val="2F700F60"/>
    <w:rsid w:val="31016B71"/>
    <w:rsid w:val="315D2D09"/>
    <w:rsid w:val="32BC3F4B"/>
    <w:rsid w:val="34224B16"/>
    <w:rsid w:val="34BC1492"/>
    <w:rsid w:val="3BE940D8"/>
    <w:rsid w:val="3BF5431D"/>
    <w:rsid w:val="3C6C46B1"/>
    <w:rsid w:val="3C73403C"/>
    <w:rsid w:val="3E321758"/>
    <w:rsid w:val="3EBA7779"/>
    <w:rsid w:val="409B2598"/>
    <w:rsid w:val="42E162E8"/>
    <w:rsid w:val="439A14F5"/>
    <w:rsid w:val="43B533A4"/>
    <w:rsid w:val="43F5297E"/>
    <w:rsid w:val="45B57299"/>
    <w:rsid w:val="4D131D04"/>
    <w:rsid w:val="4EA355F9"/>
    <w:rsid w:val="5410510C"/>
    <w:rsid w:val="54791FA3"/>
    <w:rsid w:val="57FC4BC1"/>
    <w:rsid w:val="5AA31EC3"/>
    <w:rsid w:val="5FA266F3"/>
    <w:rsid w:val="65975DB9"/>
    <w:rsid w:val="665B0751"/>
    <w:rsid w:val="669811DF"/>
    <w:rsid w:val="674A6A84"/>
    <w:rsid w:val="68B0184E"/>
    <w:rsid w:val="6BA42B26"/>
    <w:rsid w:val="6C600CDA"/>
    <w:rsid w:val="6EF44517"/>
    <w:rsid w:val="75FF7EA2"/>
    <w:rsid w:val="78515493"/>
    <w:rsid w:val="79E03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">
    <w:name w:val="heading 1"/>
    <w:next w:val="3"/>
    <w:link w:val="38"/>
    <w:qFormat/>
    <w:uiPriority w:val="0"/>
    <w:pPr>
      <w:keepNext/>
      <w:numPr>
        <w:ilvl w:val="0"/>
        <w:numId w:val="1"/>
      </w:numPr>
      <w:spacing w:before="240" w:after="240"/>
      <w:jc w:val="both"/>
      <w:outlineLvl w:val="0"/>
    </w:pPr>
    <w:rPr>
      <w:rFonts w:ascii="Arial" w:hAnsi="Arial" w:eastAsia="黑体" w:cs="Times New Roman"/>
      <w:b/>
      <w:sz w:val="32"/>
      <w:szCs w:val="32"/>
      <w:lang w:val="en-US" w:eastAsia="zh-CN" w:bidi="ar-SA"/>
    </w:rPr>
  </w:style>
  <w:style w:type="paragraph" w:styleId="3">
    <w:name w:val="heading 2"/>
    <w:next w:val="1"/>
    <w:qFormat/>
    <w:uiPriority w:val="0"/>
    <w:pPr>
      <w:keepNext/>
      <w:numPr>
        <w:ilvl w:val="1"/>
        <w:numId w:val="1"/>
      </w:numPr>
      <w:spacing w:before="120" w:after="120"/>
      <w:jc w:val="both"/>
      <w:outlineLvl w:val="1"/>
    </w:pPr>
    <w:rPr>
      <w:rFonts w:ascii="Arial" w:hAnsi="Arial" w:eastAsia="黑体" w:cs="Times New Roman"/>
      <w:sz w:val="28"/>
      <w:szCs w:val="24"/>
      <w:lang w:val="en-US" w:eastAsia="zh-CN" w:bidi="ar-SA"/>
    </w:rPr>
  </w:style>
  <w:style w:type="paragraph" w:styleId="4">
    <w:name w:val="heading 3"/>
    <w:basedOn w:val="1"/>
    <w:next w:val="1"/>
    <w:qFormat/>
    <w:uiPriority w:val="0"/>
    <w:pPr>
      <w:keepNext/>
      <w:keepLines/>
      <w:numPr>
        <w:ilvl w:val="2"/>
        <w:numId w:val="1"/>
      </w:numPr>
      <w:autoSpaceDE/>
      <w:autoSpaceDN/>
      <w:adjustRightInd/>
      <w:spacing w:before="120" w:after="120" w:line="415" w:lineRule="auto"/>
      <w:outlineLvl w:val="2"/>
    </w:pPr>
    <w:rPr>
      <w:rFonts w:ascii="Arial" w:hAnsi="Arial" w:eastAsia="Arial"/>
      <w:bCs/>
      <w:kern w:val="2"/>
      <w:sz w:val="24"/>
      <w:szCs w:val="32"/>
    </w:rPr>
  </w:style>
  <w:style w:type="character" w:default="1" w:styleId="16">
    <w:name w:val="Default Paragraph Font"/>
    <w:semiHidden/>
    <w:unhideWhenUsed/>
    <w:uiPriority w:val="1"/>
  </w:style>
  <w:style w:type="table" w:default="1" w:styleId="1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link w:val="45"/>
    <w:qFormat/>
    <w:uiPriority w:val="0"/>
    <w:pPr>
      <w:overflowPunct/>
      <w:snapToGrid w:val="0"/>
      <w:spacing w:after="120" w:line="240" w:lineRule="auto"/>
      <w:jc w:val="center"/>
      <w:textAlignment w:val="auto"/>
    </w:pPr>
    <w:rPr>
      <w:b/>
      <w:bCs/>
      <w:sz w:val="20"/>
      <w:lang w:eastAsia="en-US"/>
    </w:rPr>
  </w:style>
  <w:style w:type="paragraph" w:styleId="6">
    <w:name w:val="annotation text"/>
    <w:basedOn w:val="1"/>
    <w:link w:val="34"/>
    <w:semiHidden/>
    <w:qFormat/>
    <w:uiPriority w:val="0"/>
  </w:style>
  <w:style w:type="paragraph" w:styleId="7">
    <w:name w:val="Body Text"/>
    <w:basedOn w:val="1"/>
    <w:link w:val="43"/>
    <w:semiHidden/>
    <w:unhideWhenUsed/>
    <w:uiPriority w:val="0"/>
    <w:pPr>
      <w:spacing w:after="120"/>
    </w:pPr>
  </w:style>
  <w:style w:type="paragraph" w:styleId="8">
    <w:name w:val="Balloon Text"/>
    <w:basedOn w:val="1"/>
    <w:link w:val="32"/>
    <w:qFormat/>
    <w:uiPriority w:val="0"/>
    <w:pPr>
      <w:spacing w:line="240" w:lineRule="auto"/>
    </w:pPr>
    <w:rPr>
      <w:sz w:val="18"/>
      <w:szCs w:val="18"/>
    </w:rPr>
  </w:style>
  <w:style w:type="paragraph" w:styleId="9">
    <w:name w:val="footer"/>
    <w:qFormat/>
    <w:uiPriority w:val="0"/>
    <w:pPr>
      <w:tabs>
        <w:tab w:val="center" w:pos="4510"/>
        <w:tab w:val="right" w:pos="9020"/>
      </w:tabs>
    </w:pPr>
    <w:rPr>
      <w:rFonts w:ascii="Arial" w:hAnsi="Arial" w:eastAsia="宋体" w:cs="Times New Roman"/>
      <w:sz w:val="18"/>
      <w:szCs w:val="18"/>
      <w:lang w:val="en-US" w:eastAsia="zh-CN" w:bidi="ar-SA"/>
    </w:rPr>
  </w:style>
  <w:style w:type="paragraph" w:styleId="10">
    <w:name w:val="header"/>
    <w:qFormat/>
    <w:uiPriority w:val="0"/>
    <w:pPr>
      <w:tabs>
        <w:tab w:val="center" w:pos="4153"/>
        <w:tab w:val="right" w:pos="8306"/>
      </w:tabs>
      <w:snapToGrid w:val="0"/>
      <w:jc w:val="both"/>
    </w:pPr>
    <w:rPr>
      <w:rFonts w:ascii="Arial" w:hAnsi="Arial" w:eastAsia="宋体" w:cs="Times New Roman"/>
      <w:sz w:val="18"/>
      <w:szCs w:val="18"/>
      <w:lang w:val="en-US" w:eastAsia="zh-CN" w:bidi="ar-SA"/>
    </w:rPr>
  </w:style>
  <w:style w:type="paragraph" w:styleId="11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styleId="12">
    <w:name w:val="Title"/>
    <w:basedOn w:val="3"/>
    <w:link w:val="35"/>
    <w:qFormat/>
    <w:uiPriority w:val="10"/>
    <w:pPr>
      <w:keepLines/>
      <w:numPr>
        <w:ilvl w:val="0"/>
        <w:numId w:val="0"/>
      </w:numPr>
      <w:overflowPunct w:val="0"/>
      <w:autoSpaceDE w:val="0"/>
      <w:autoSpaceDN w:val="0"/>
      <w:adjustRightInd w:val="0"/>
      <w:spacing w:before="180" w:after="180"/>
      <w:jc w:val="left"/>
      <w:textAlignment w:val="baseline"/>
    </w:pPr>
    <w:rPr>
      <w:rFonts w:eastAsia="Arial"/>
      <w:sz w:val="30"/>
      <w:szCs w:val="20"/>
      <w:lang w:val="de-DE" w:eastAsia="en-US"/>
    </w:rPr>
  </w:style>
  <w:style w:type="paragraph" w:styleId="13">
    <w:name w:val="annotation subject"/>
    <w:basedOn w:val="6"/>
    <w:next w:val="6"/>
    <w:link w:val="47"/>
    <w:semiHidden/>
    <w:unhideWhenUsed/>
    <w:qFormat/>
    <w:uiPriority w:val="0"/>
    <w:pPr>
      <w:jc w:val="left"/>
    </w:pPr>
    <w:rPr>
      <w:b/>
      <w:bCs/>
    </w:rPr>
  </w:style>
  <w:style w:type="table" w:styleId="15">
    <w:name w:val="Table Grid"/>
    <w:basedOn w:val="14"/>
    <w:qFormat/>
    <w:uiPriority w:val="59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annotation reference"/>
    <w:semiHidden/>
    <w:qFormat/>
    <w:uiPriority w:val="0"/>
    <w:rPr>
      <w:sz w:val="16"/>
      <w:szCs w:val="16"/>
    </w:rPr>
  </w:style>
  <w:style w:type="paragraph" w:customStyle="1" w:styleId="19">
    <w:name w:val="表格题注"/>
    <w:next w:val="1"/>
    <w:qFormat/>
    <w:uiPriority w:val="0"/>
    <w:pPr>
      <w:keepLines/>
      <w:numPr>
        <w:ilvl w:val="8"/>
        <w:numId w:val="2"/>
      </w:numPr>
      <w:spacing w:beforeLines="100"/>
      <w:ind w:left="1089" w:hanging="369"/>
      <w:jc w:val="center"/>
    </w:pPr>
    <w:rPr>
      <w:rFonts w:ascii="Arial" w:hAnsi="Arial" w:eastAsia="宋体" w:cs="Times New Roman"/>
      <w:sz w:val="18"/>
      <w:szCs w:val="18"/>
      <w:lang w:val="en-US" w:eastAsia="zh-CN" w:bidi="ar-SA"/>
    </w:rPr>
  </w:style>
  <w:style w:type="paragraph" w:customStyle="1" w:styleId="20">
    <w:name w:val="表格文本"/>
    <w:qFormat/>
    <w:uiPriority w:val="0"/>
    <w:pPr>
      <w:tabs>
        <w:tab w:val="decimal" w:pos="0"/>
      </w:tabs>
    </w:pPr>
    <w:rPr>
      <w:rFonts w:ascii="Arial" w:hAnsi="Arial" w:eastAsia="宋体" w:cs="Times New Roman"/>
      <w:sz w:val="21"/>
      <w:szCs w:val="21"/>
      <w:lang w:val="en-US" w:eastAsia="zh-CN" w:bidi="ar-SA"/>
    </w:rPr>
  </w:style>
  <w:style w:type="paragraph" w:customStyle="1" w:styleId="21">
    <w:name w:val="表头文本"/>
    <w:qFormat/>
    <w:uiPriority w:val="0"/>
    <w:pPr>
      <w:jc w:val="center"/>
    </w:pPr>
    <w:rPr>
      <w:rFonts w:ascii="Arial" w:hAnsi="Arial" w:eastAsia="宋体" w:cs="Times New Roman"/>
      <w:b/>
      <w:sz w:val="21"/>
      <w:szCs w:val="21"/>
      <w:lang w:val="en-US" w:eastAsia="zh-CN" w:bidi="ar-SA"/>
    </w:rPr>
  </w:style>
  <w:style w:type="table" w:customStyle="1" w:styleId="22">
    <w:name w:val="表样式"/>
    <w:basedOn w:val="14"/>
    <w:qFormat/>
    <w:uiPriority w:val="0"/>
    <w:pPr>
      <w:jc w:val="both"/>
    </w:pPr>
    <w:rPr>
      <w:sz w:val="18"/>
      <w:szCs w:val="1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shd w:val="clear" w:color="auto" w:fill="auto"/>
      <w:vAlign w:val="center"/>
    </w:tcPr>
  </w:style>
  <w:style w:type="paragraph" w:customStyle="1" w:styleId="23">
    <w:name w:val="插图题注"/>
    <w:next w:val="1"/>
    <w:qFormat/>
    <w:uiPriority w:val="0"/>
    <w:pPr>
      <w:numPr>
        <w:ilvl w:val="7"/>
        <w:numId w:val="2"/>
      </w:numPr>
      <w:spacing w:afterLines="100"/>
      <w:ind w:left="1089" w:hanging="369"/>
      <w:jc w:val="center"/>
    </w:pPr>
    <w:rPr>
      <w:rFonts w:ascii="Arial" w:hAnsi="Arial" w:eastAsia="宋体" w:cs="Times New Roman"/>
      <w:sz w:val="18"/>
      <w:szCs w:val="18"/>
      <w:lang w:val="en-US" w:eastAsia="zh-CN" w:bidi="ar-SA"/>
    </w:rPr>
  </w:style>
  <w:style w:type="paragraph" w:customStyle="1" w:styleId="24">
    <w:name w:val="图样式"/>
    <w:basedOn w:val="1"/>
    <w:qFormat/>
    <w:uiPriority w:val="0"/>
    <w:pPr>
      <w:keepNext/>
      <w:spacing w:before="80" w:after="80"/>
      <w:jc w:val="center"/>
    </w:pPr>
  </w:style>
  <w:style w:type="paragraph" w:customStyle="1" w:styleId="25">
    <w:name w:val="文档标题"/>
    <w:basedOn w:val="1"/>
    <w:qFormat/>
    <w:uiPriority w:val="0"/>
    <w:pPr>
      <w:tabs>
        <w:tab w:val="left" w:pos="0"/>
      </w:tabs>
      <w:spacing w:before="300" w:after="300"/>
      <w:jc w:val="center"/>
    </w:pPr>
    <w:rPr>
      <w:rFonts w:ascii="Arial" w:hAnsi="Arial" w:eastAsia="黑体"/>
      <w:sz w:val="36"/>
      <w:szCs w:val="36"/>
    </w:rPr>
  </w:style>
  <w:style w:type="paragraph" w:customStyle="1" w:styleId="26">
    <w:name w:val="正文（首行不缩进）"/>
    <w:basedOn w:val="1"/>
    <w:qFormat/>
    <w:uiPriority w:val="0"/>
  </w:style>
  <w:style w:type="paragraph" w:customStyle="1" w:styleId="27">
    <w:name w:val="注示头"/>
    <w:basedOn w:val="1"/>
    <w:qFormat/>
    <w:uiPriority w:val="0"/>
    <w:pPr>
      <w:pBdr>
        <w:top w:val="single" w:color="000000" w:sz="4" w:space="1"/>
      </w:pBdr>
    </w:pPr>
    <w:rPr>
      <w:rFonts w:ascii="Arial" w:hAnsi="Arial" w:eastAsia="黑体"/>
      <w:sz w:val="18"/>
    </w:rPr>
  </w:style>
  <w:style w:type="paragraph" w:customStyle="1" w:styleId="28">
    <w:name w:val="注示文本"/>
    <w:basedOn w:val="1"/>
    <w:qFormat/>
    <w:uiPriority w:val="0"/>
    <w:pPr>
      <w:pBdr>
        <w:bottom w:val="single" w:color="000000" w:sz="4" w:space="1"/>
      </w:pBdr>
      <w:ind w:firstLine="360"/>
    </w:pPr>
    <w:rPr>
      <w:rFonts w:ascii="Arial" w:hAnsi="Arial" w:eastAsia="楷体_GB2312"/>
      <w:sz w:val="18"/>
      <w:szCs w:val="18"/>
    </w:rPr>
  </w:style>
  <w:style w:type="paragraph" w:customStyle="1" w:styleId="29">
    <w:name w:val="编写建议"/>
    <w:basedOn w:val="1"/>
    <w:qFormat/>
    <w:uiPriority w:val="0"/>
    <w:pPr>
      <w:ind w:firstLine="420"/>
    </w:pPr>
    <w:rPr>
      <w:rFonts w:ascii="Arial" w:hAnsi="Arial" w:cs="Arial"/>
      <w:i/>
      <w:color w:val="0000FF"/>
    </w:rPr>
  </w:style>
  <w:style w:type="character" w:customStyle="1" w:styleId="30">
    <w:name w:val="样式一"/>
    <w:basedOn w:val="16"/>
    <w:qFormat/>
    <w:uiPriority w:val="0"/>
    <w:rPr>
      <w:rFonts w:ascii="宋体" w:hAnsi="宋体"/>
      <w:b/>
      <w:bCs/>
      <w:color w:val="000000"/>
      <w:sz w:val="36"/>
    </w:rPr>
  </w:style>
  <w:style w:type="character" w:customStyle="1" w:styleId="31">
    <w:name w:val="样式二"/>
    <w:basedOn w:val="30"/>
    <w:qFormat/>
    <w:uiPriority w:val="0"/>
    <w:rPr>
      <w:rFonts w:ascii="宋体" w:hAnsi="宋体"/>
      <w:color w:val="000000"/>
      <w:sz w:val="36"/>
    </w:rPr>
  </w:style>
  <w:style w:type="character" w:customStyle="1" w:styleId="32">
    <w:name w:val="批注框文本 字符"/>
    <w:basedOn w:val="16"/>
    <w:link w:val="8"/>
    <w:qFormat/>
    <w:uiPriority w:val="0"/>
    <w:rPr>
      <w:snapToGrid w:val="0"/>
      <w:sz w:val="18"/>
      <w:szCs w:val="18"/>
    </w:rPr>
  </w:style>
  <w:style w:type="paragraph" w:styleId="33">
    <w:name w:val="List Paragraph"/>
    <w:basedOn w:val="1"/>
    <w:link w:val="37"/>
    <w:qFormat/>
    <w:uiPriority w:val="34"/>
    <w:pPr>
      <w:ind w:firstLine="420" w:firstLineChars="200"/>
    </w:pPr>
  </w:style>
  <w:style w:type="character" w:customStyle="1" w:styleId="34">
    <w:name w:val="批注文字 字符"/>
    <w:basedOn w:val="16"/>
    <w:link w:val="6"/>
    <w:semiHidden/>
    <w:qFormat/>
    <w:uiPriority w:val="0"/>
    <w:rPr>
      <w:sz w:val="22"/>
    </w:rPr>
  </w:style>
  <w:style w:type="character" w:customStyle="1" w:styleId="35">
    <w:name w:val="标题 字符"/>
    <w:basedOn w:val="16"/>
    <w:link w:val="12"/>
    <w:qFormat/>
    <w:uiPriority w:val="10"/>
    <w:rPr>
      <w:rFonts w:ascii="Arial" w:hAnsi="Arial" w:eastAsia="Arial"/>
      <w:sz w:val="30"/>
      <w:lang w:val="de-DE" w:eastAsia="en-US"/>
    </w:rPr>
  </w:style>
  <w:style w:type="paragraph" w:customStyle="1" w:styleId="36">
    <w:name w:val="Medium Grid 1 - Accent 21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37">
    <w:name w:val="列表段落 字符"/>
    <w:link w:val="33"/>
    <w:qFormat/>
    <w:uiPriority w:val="34"/>
    <w:rPr>
      <w:snapToGrid w:val="0"/>
      <w:sz w:val="21"/>
      <w:szCs w:val="21"/>
    </w:rPr>
  </w:style>
  <w:style w:type="character" w:customStyle="1" w:styleId="38">
    <w:name w:val="标题 1 字符"/>
    <w:basedOn w:val="16"/>
    <w:link w:val="2"/>
    <w:qFormat/>
    <w:uiPriority w:val="0"/>
    <w:rPr>
      <w:rFonts w:ascii="Arial" w:hAnsi="Arial" w:eastAsia="黑体"/>
      <w:b/>
      <w:sz w:val="32"/>
      <w:szCs w:val="32"/>
    </w:rPr>
  </w:style>
  <w:style w:type="paragraph" w:customStyle="1" w:styleId="39">
    <w:name w:val="Reference"/>
    <w:basedOn w:val="7"/>
    <w:link w:val="40"/>
    <w:qFormat/>
    <w:uiPriority w:val="0"/>
    <w:pPr>
      <w:widowControl w:val="0"/>
      <w:numPr>
        <w:ilvl w:val="0"/>
        <w:numId w:val="3"/>
      </w:numPr>
      <w:overflowPunct/>
      <w:autoSpaceDE/>
      <w:autoSpaceDN/>
      <w:adjustRightInd/>
      <w:spacing w:line="240" w:lineRule="auto"/>
      <w:textAlignment w:val="auto"/>
    </w:pPr>
    <w:rPr>
      <w:rFonts w:ascii="Arial" w:hAnsi="Arial" w:eastAsia="等线"/>
      <w:kern w:val="2"/>
      <w:sz w:val="21"/>
      <w:szCs w:val="22"/>
    </w:rPr>
  </w:style>
  <w:style w:type="character" w:customStyle="1" w:styleId="40">
    <w:name w:val="Reference Char"/>
    <w:link w:val="39"/>
    <w:qFormat/>
    <w:uiPriority w:val="0"/>
    <w:rPr>
      <w:rFonts w:ascii="Arial" w:hAnsi="Arial" w:eastAsia="等线"/>
      <w:kern w:val="2"/>
      <w:sz w:val="21"/>
      <w:szCs w:val="22"/>
    </w:rPr>
  </w:style>
  <w:style w:type="paragraph" w:customStyle="1" w:styleId="41">
    <w:name w:val="标题3"/>
    <w:basedOn w:val="12"/>
    <w:link w:val="42"/>
    <w:qFormat/>
    <w:uiPriority w:val="0"/>
    <w:pPr>
      <w:numPr>
        <w:ilvl w:val="2"/>
        <w:numId w:val="4"/>
      </w:numPr>
    </w:pPr>
    <w:rPr>
      <w:sz w:val="28"/>
    </w:rPr>
  </w:style>
  <w:style w:type="character" w:customStyle="1" w:styleId="42">
    <w:name w:val="标题3 字符"/>
    <w:basedOn w:val="35"/>
    <w:link w:val="41"/>
    <w:qFormat/>
    <w:uiPriority w:val="0"/>
    <w:rPr>
      <w:rFonts w:ascii="Arial" w:hAnsi="Arial" w:eastAsia="Arial"/>
      <w:sz w:val="28"/>
      <w:lang w:val="de-DE" w:eastAsia="en-US"/>
    </w:rPr>
  </w:style>
  <w:style w:type="character" w:customStyle="1" w:styleId="43">
    <w:name w:val="正文文本 字符"/>
    <w:basedOn w:val="16"/>
    <w:link w:val="7"/>
    <w:semiHidden/>
    <w:qFormat/>
    <w:uiPriority w:val="0"/>
    <w:rPr>
      <w:sz w:val="22"/>
    </w:rPr>
  </w:style>
  <w:style w:type="paragraph" w:customStyle="1" w:styleId="44">
    <w:name w:val="Agreement"/>
    <w:basedOn w:val="1"/>
    <w:next w:val="1"/>
    <w:qFormat/>
    <w:uiPriority w:val="99"/>
    <w:p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hAnsi="Arial" w:eastAsia="MS Mincho"/>
      <w:b/>
      <w:sz w:val="20"/>
      <w:szCs w:val="24"/>
      <w:lang w:val="en-GB" w:eastAsia="en-GB"/>
    </w:rPr>
  </w:style>
  <w:style w:type="character" w:customStyle="1" w:styleId="45">
    <w:name w:val="题注 字符"/>
    <w:basedOn w:val="16"/>
    <w:link w:val="5"/>
    <w:qFormat/>
    <w:uiPriority w:val="0"/>
    <w:rPr>
      <w:b/>
      <w:bCs/>
      <w:lang w:eastAsia="en-US"/>
    </w:rPr>
  </w:style>
  <w:style w:type="character" w:customStyle="1" w:styleId="46">
    <w:name w:val="列表段落 字符1"/>
    <w:qFormat/>
    <w:locked/>
    <w:uiPriority w:val="34"/>
    <w:rPr>
      <w:sz w:val="22"/>
      <w:szCs w:val="22"/>
    </w:rPr>
  </w:style>
  <w:style w:type="character" w:customStyle="1" w:styleId="47">
    <w:name w:val="批注主题 字符"/>
    <w:basedOn w:val="34"/>
    <w:link w:val="13"/>
    <w:semiHidden/>
    <w:qFormat/>
    <w:uiPriority w:val="0"/>
    <w:rPr>
      <w:b/>
      <w:bCs/>
      <w:sz w:val="22"/>
    </w:rPr>
  </w:style>
  <w:style w:type="paragraph" w:customStyle="1" w:styleId="48">
    <w:name w:val="TAH"/>
    <w:basedOn w:val="1"/>
    <w:link w:val="53"/>
    <w:qFormat/>
    <w:uiPriority w:val="0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49">
    <w:name w:val="TAL"/>
    <w:basedOn w:val="1"/>
    <w:link w:val="5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0">
    <w:name w:val="TH"/>
    <w:basedOn w:val="1"/>
    <w:link w:val="5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1">
    <w:name w:val="TAN"/>
    <w:basedOn w:val="49"/>
    <w:link w:val="55"/>
    <w:qFormat/>
    <w:uiPriority w:val="0"/>
    <w:pPr>
      <w:ind w:left="851" w:hanging="851"/>
    </w:pPr>
  </w:style>
  <w:style w:type="character" w:customStyle="1" w:styleId="52">
    <w:name w:val="TAL Char"/>
    <w:link w:val="49"/>
    <w:qFormat/>
    <w:uiPriority w:val="0"/>
    <w:rPr>
      <w:rFonts w:ascii="Arial" w:hAnsi="Arial"/>
      <w:sz w:val="18"/>
    </w:rPr>
  </w:style>
  <w:style w:type="character" w:customStyle="1" w:styleId="53">
    <w:name w:val="TAH Car"/>
    <w:link w:val="48"/>
    <w:qFormat/>
    <w:locked/>
    <w:uiPriority w:val="0"/>
    <w:rPr>
      <w:rFonts w:ascii="Arial" w:hAnsi="Arial"/>
      <w:b/>
      <w:sz w:val="18"/>
    </w:rPr>
  </w:style>
  <w:style w:type="character" w:customStyle="1" w:styleId="54">
    <w:name w:val="TH Char"/>
    <w:link w:val="50"/>
    <w:qFormat/>
    <w:uiPriority w:val="0"/>
    <w:rPr>
      <w:rFonts w:ascii="Arial" w:hAnsi="Arial"/>
      <w:b/>
      <w:sz w:val="22"/>
    </w:rPr>
  </w:style>
  <w:style w:type="character" w:customStyle="1" w:styleId="55">
    <w:name w:val="TAN Char"/>
    <w:link w:val="51"/>
    <w:qFormat/>
    <w:uiPriority w:val="0"/>
    <w:rPr>
      <w:rFonts w:ascii="Arial" w:hAnsi="Arial"/>
      <w:sz w:val="18"/>
    </w:rPr>
  </w:style>
  <w:style w:type="paragraph" w:customStyle="1" w:styleId="56">
    <w:name w:val="Revision"/>
    <w:hidden/>
    <w:semiHidden/>
    <w:qFormat/>
    <w:uiPriority w:val="99"/>
    <w:rPr>
      <w:rFonts w:ascii="Times New Roman" w:hAnsi="Times New Roman" w:eastAsia="宋体" w:cs="Times New Roman"/>
      <w:sz w:val="22"/>
      <w:lang w:val="en-US" w:eastAsia="zh-CN" w:bidi="ar-SA"/>
    </w:rPr>
  </w:style>
  <w:style w:type="paragraph" w:customStyle="1" w:styleId="57">
    <w:name w:val="Proposal-HW"/>
    <w:basedOn w:val="1"/>
    <w:qFormat/>
    <w:uiPriority w:val="0"/>
    <w:pPr>
      <w:ind w:left="1132" w:hanging="1132" w:hangingChars="564"/>
    </w:pPr>
    <w:rPr>
      <w:b/>
      <w:lang w:eastAsia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wx690449\Desktop\OFFICE\Templet\office\office\Office%20&#27169;&#26495;&#65288;&#20013;&#25991;&#65289;\DOC\Word%20&#27169;&#26495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0B997-6F2A-4C86-879C-1EBB9376C23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 模板</Template>
  <Company>Huawei Technologies Co., Ltd.</Company>
  <Pages>8</Pages>
  <Words>2697</Words>
  <Characters>15375</Characters>
  <Lines>128</Lines>
  <Paragraphs>36</Paragraphs>
  <TotalTime>9</TotalTime>
  <ScaleCrop>false</ScaleCrop>
  <LinksUpToDate>false</LinksUpToDate>
  <CharactersWithSpaces>18036</CharactersWithSpaces>
  <Application>WPS Office_12.8.2.15091_F1E327BC-269C-435d-A152-05C5408002CA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2024-03-28T13:30:00Z</dcterms:created>
  <dc:creator>Kuangyiru (Yiru)</dc:creator>
  <cp:lastModifiedBy>HP</cp:lastModifiedBy>
  <dcterms:modified xsi:type="dcterms:W3CDTF">2024-04-02T05:47:50Z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(4)hGQ1PSCXEkVfcwFQsoRSLtxtuzYtzBVjCK06H8HLhZoLuRhj4leYecNqTcOz6een0ft1egsg
t001mFnCvLMaA7NtV7uI2VC2fwALyxkAC4/wcWz8V8s9ISVz/CfAoSvyQ6nyxiczypx3WN6k
iUnWGkbT1bSwB2DSRd3f7wzNpVKyHhElmeFgXpfDEloNrXj6fpuVTbsm6RDJMi1f464iyj1z
614PzAImBcWE/WjDWN/y5</vt:lpwstr>
  </property>
  <property fmtid="{D5CDD505-2E9C-101B-9397-08002B2CF9AE}" pid="3" name="_ms_pID_7253431">
    <vt:lpwstr>TFYekd/MoOcdAUKhpiH6kdybFPk4me52k75asY0n+2Om+X60aHu
K7gzsUkkPd9EvzrGt8Nhbs+5OzH324OV3/Zv0Wk1s77ymyBS/g1FukTABfllXSMe4+HG/L89
tp8NHHTwaIzm28DBBkVmVmdL09ekEMV+QrS/Rie/ICaA+cc5fNaNjUKJZ6+1wXS2SQEOKjC6
b8HqMKW55JFIbIK2N1piaa3K9ae25MbT1AEQED9QlN</vt:lpwstr>
  </property>
  <property fmtid="{D5CDD505-2E9C-101B-9397-08002B2CF9AE}" pid="4" name="_ms_pID_7253432">
    <vt:lpwstr>E7FqxOADAUq80etHyPBA3ELTZhFDR2
wVj3LzUVhy7LOuwI9uxMSkbk8k5daWHKRVM2jPOoZ88TOOJpho94OU041q2lK6RN9bR9XAb5
mvsbzvyK7y9aTwrRm9Y9jeP/2MGeGsd46jyP7DuLztgB1VmvC8i6MYko5SiXTLeJvJ8l6Chj
pwgTqVKI/iPWcTv5Z3EUyitJA9voTAle06Fnasq695DEfPit2GNQApOppq1hRmF</vt:lpwstr>
  </property>
  <property fmtid="{D5CDD505-2E9C-101B-9397-08002B2CF9AE}" pid="5" name="_ms_pID_7253433">
    <vt:lpwstr>XOJNPY2kx
4xqimhk3tS32I2ubWObO207x2MvGmI15qfOjJqw4zxHSDgtN</vt:lpwstr>
  </property>
  <property fmtid="{D5CDD505-2E9C-101B-9397-08002B2CF9AE}" pid="6" name="_2015_ms_pID_725343">
    <vt:lpwstr>(3)fzvL94S4z2cVUeCf09K4oNs4e6bXLH2dRy1I7YEMUlvILQhXrOcqaR8ajVjUkTwy6+vMP5hV
9xlElIEGHGiPEhqgv3DxRSURfAZJXZi6DCfBy5xGFNYhijAm3GiFMpagR7Pk+XyFtIOith+b
6p60716dnJEa6YtWlyKjtOJ9pDCVxMT3PTKClkw5Zc3wcmp7HTipw9CrNyHY+VcocyQ6mYOg
D2ikKnBaSWvrQJ0Gb6</vt:lpwstr>
  </property>
  <property fmtid="{D5CDD505-2E9C-101B-9397-08002B2CF9AE}" pid="7" name="_2015_ms_pID_7253431">
    <vt:lpwstr>3iBn8JW4OQmhGe9ZWrG0B6DY3M/kgV7B2jFpHgKQjoAB2kqjm9oreq
WLWzsnuj6rbDsPYWVB/eIMrwY9o1hto/+557nFMtrHN5P2v9TLPyam4qccaBALj1+lyhMfqW
XUAWoMXahGN7DApHwEv6rhDVDXtxMW+g4NfDJwVbAC20fwI1ua609b0vf69n3Lot0oKJWixW
2fDAqC5ghovQnDVCr4n7UxoJpwGQdBbH4J5P</vt:lpwstr>
  </property>
  <property fmtid="{D5CDD505-2E9C-101B-9397-08002B2CF9AE}" pid="8" name="_2015_ms_pID_7253432">
    <vt:lpwstr>y1wBRoxrcVH/a7m/3T8E370=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1711333018</vt:lpwstr>
  </property>
  <property fmtid="{D5CDD505-2E9C-101B-9397-08002B2CF9AE}" pid="13" name="KSOProductBuildVer">
    <vt:lpwstr>2052-12.8.2.15091</vt:lpwstr>
  </property>
  <property fmtid="{D5CDD505-2E9C-101B-9397-08002B2CF9AE}" pid="14" name="ICV">
    <vt:lpwstr>2937300F72CB4E168078A22B02ACCF2E_12</vt:lpwstr>
  </property>
</Properties>
</file>